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70C7" w:rsidRDefault="001970C7" w:rsidP="001970C7">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Pr>
          <w:noProof/>
        </w:rPr>
        <w:drawing>
          <wp:inline distT="0" distB="0" distL="0" distR="0" wp14:anchorId="14B63D92" wp14:editId="2E64C65C">
            <wp:extent cx="2423160" cy="1005816"/>
            <wp:effectExtent l="0" t="0" r="0" b="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522407" cy="1047012"/>
                    </a:xfrm>
                    <a:prstGeom prst="rect">
                      <a:avLst/>
                    </a:prstGeom>
                  </pic:spPr>
                </pic:pic>
              </a:graphicData>
            </a:graphic>
          </wp:inline>
        </w:drawing>
      </w:r>
    </w:p>
    <w:p w:rsidR="001970C7" w:rsidRDefault="001970C7" w:rsidP="001970C7">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sidRPr="00154DD4">
        <w:rPr>
          <w:rFonts w:ascii="Century Gothic" w:hAnsi="Century Gothic" w:cs="Arial"/>
          <w:b w:val="0"/>
          <w:iCs/>
          <w:sz w:val="20"/>
          <w:szCs w:val="20"/>
        </w:rPr>
        <w:t xml:space="preserve">La ville d’Avignon recrute pour </w:t>
      </w:r>
      <w:r>
        <w:rPr>
          <w:rFonts w:ascii="Century Gothic" w:hAnsi="Century Gothic" w:cs="Arial"/>
          <w:b w:val="0"/>
          <w:iCs/>
          <w:sz w:val="20"/>
          <w:szCs w:val="20"/>
        </w:rPr>
        <w:t>sa Direction Générale Adjointe</w:t>
      </w:r>
    </w:p>
    <w:p w:rsidR="001970C7" w:rsidRPr="00154DD4" w:rsidRDefault="001970C7" w:rsidP="001970C7">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Pr>
          <w:rFonts w:ascii="Century Gothic" w:hAnsi="Century Gothic" w:cs="Arial"/>
          <w:b w:val="0"/>
          <w:iCs/>
          <w:sz w:val="20"/>
          <w:szCs w:val="20"/>
        </w:rPr>
        <w:t>Ville Durable et Sobre</w:t>
      </w:r>
    </w:p>
    <w:p w:rsidR="001970C7" w:rsidRPr="00154DD4" w:rsidRDefault="001970C7" w:rsidP="001970C7">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Pr>
          <w:rFonts w:ascii="Century Gothic" w:hAnsi="Century Gothic" w:cs="Arial"/>
          <w:b w:val="0"/>
          <w:iCs/>
          <w:sz w:val="20"/>
          <w:szCs w:val="20"/>
        </w:rPr>
        <w:t>Pôle Architecture et Patrimoine</w:t>
      </w:r>
    </w:p>
    <w:p w:rsidR="001970C7" w:rsidRPr="00154DD4" w:rsidRDefault="001970C7" w:rsidP="001970C7">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sidRPr="00154DD4">
        <w:rPr>
          <w:rFonts w:ascii="Century Gothic" w:hAnsi="Century Gothic" w:cs="Arial"/>
          <w:b w:val="0"/>
          <w:iCs/>
          <w:sz w:val="20"/>
          <w:szCs w:val="20"/>
        </w:rPr>
        <w:t>Direction</w:t>
      </w:r>
      <w:r>
        <w:rPr>
          <w:rFonts w:ascii="Century Gothic" w:hAnsi="Century Gothic" w:cs="Arial"/>
          <w:b w:val="0"/>
          <w:iCs/>
          <w:sz w:val="20"/>
          <w:szCs w:val="20"/>
        </w:rPr>
        <w:t xml:space="preserve"> de l’Immobilier</w:t>
      </w:r>
    </w:p>
    <w:p w:rsidR="001970C7" w:rsidRDefault="001970C7" w:rsidP="001970C7">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sidRPr="00BC5A66">
        <w:rPr>
          <w:rFonts w:ascii="Century Gothic" w:hAnsi="Century Gothic" w:cs="Arial"/>
          <w:b w:val="0"/>
          <w:iCs/>
          <w:sz w:val="20"/>
          <w:szCs w:val="20"/>
        </w:rPr>
        <w:t xml:space="preserve">Service Administration de </w:t>
      </w:r>
      <w:r>
        <w:rPr>
          <w:rFonts w:ascii="Century Gothic" w:hAnsi="Century Gothic" w:cs="Arial"/>
          <w:b w:val="0"/>
          <w:iCs/>
          <w:sz w:val="20"/>
          <w:szCs w:val="20"/>
        </w:rPr>
        <w:t>l</w:t>
      </w:r>
      <w:r w:rsidRPr="00BC5A66">
        <w:rPr>
          <w:rFonts w:ascii="Century Gothic" w:hAnsi="Century Gothic" w:cs="Arial"/>
          <w:b w:val="0"/>
          <w:iCs/>
          <w:sz w:val="20"/>
          <w:szCs w:val="20"/>
        </w:rPr>
        <w:t>’Immobilier</w:t>
      </w:r>
      <w:r>
        <w:rPr>
          <w:rFonts w:ascii="Century Gothic" w:hAnsi="Century Gothic" w:cs="Arial"/>
          <w:b w:val="0"/>
          <w:iCs/>
          <w:sz w:val="20"/>
          <w:szCs w:val="20"/>
        </w:rPr>
        <w:t xml:space="preserve"> – Bureau Foncier</w:t>
      </w:r>
    </w:p>
    <w:p w:rsidR="001970C7" w:rsidRPr="00BC5A66" w:rsidRDefault="001970C7" w:rsidP="001970C7">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p>
    <w:p w:rsidR="001970C7" w:rsidRDefault="001970C7" w:rsidP="001970C7">
      <w:pPr>
        <w:pStyle w:val="Titre2"/>
        <w:tabs>
          <w:tab w:val="left" w:pos="180"/>
        </w:tabs>
        <w:rPr>
          <w:rFonts w:ascii="Century Gothic" w:eastAsiaTheme="minorEastAsia" w:hAnsi="Century Gothic"/>
          <w:sz w:val="20"/>
          <w:szCs w:val="20"/>
        </w:rPr>
      </w:pPr>
      <w:r w:rsidRPr="00154DD4">
        <w:rPr>
          <w:rFonts w:ascii="Century Gothic" w:eastAsiaTheme="minorEastAsia" w:hAnsi="Century Gothic"/>
          <w:sz w:val="20"/>
          <w:szCs w:val="20"/>
        </w:rPr>
        <w:t xml:space="preserve">Poste : </w:t>
      </w:r>
      <w:r>
        <w:rPr>
          <w:rFonts w:ascii="Century Gothic" w:eastAsiaTheme="minorEastAsia" w:hAnsi="Century Gothic"/>
          <w:sz w:val="20"/>
          <w:szCs w:val="20"/>
        </w:rPr>
        <w:t>Conseiller Juridique foncier f/h</w:t>
      </w:r>
    </w:p>
    <w:p w:rsidR="001970C7" w:rsidRDefault="001970C7" w:rsidP="001970C7">
      <w:pPr>
        <w:jc w:val="center"/>
        <w:rPr>
          <w:rFonts w:ascii="Century Gothic" w:hAnsi="Century Gothic"/>
          <w:b/>
          <w:bCs/>
          <w:sz w:val="20"/>
          <w:szCs w:val="20"/>
        </w:rPr>
      </w:pPr>
      <w:r w:rsidRPr="002B571E">
        <w:rPr>
          <w:rFonts w:ascii="Century Gothic" w:hAnsi="Century Gothic"/>
          <w:b/>
          <w:bCs/>
          <w:sz w:val="20"/>
          <w:szCs w:val="20"/>
        </w:rPr>
        <w:t>Emploi : C</w:t>
      </w:r>
      <w:r>
        <w:rPr>
          <w:rFonts w:ascii="Century Gothic" w:hAnsi="Century Gothic"/>
          <w:b/>
          <w:bCs/>
          <w:sz w:val="20"/>
          <w:szCs w:val="20"/>
        </w:rPr>
        <w:t>onseiller Juridique</w:t>
      </w:r>
    </w:p>
    <w:p w:rsidR="001970C7" w:rsidRPr="00BC5A66" w:rsidRDefault="001970C7" w:rsidP="001970C7">
      <w:pPr>
        <w:jc w:val="center"/>
        <w:rPr>
          <w:rFonts w:ascii="Century Gothic" w:hAnsi="Century Gothic"/>
          <w:b/>
          <w:bCs/>
          <w:sz w:val="20"/>
          <w:szCs w:val="20"/>
        </w:rPr>
      </w:pPr>
      <w:r>
        <w:rPr>
          <w:rFonts w:ascii="Century Gothic" w:hAnsi="Century Gothic"/>
          <w:b/>
          <w:bCs/>
          <w:sz w:val="20"/>
          <w:szCs w:val="20"/>
        </w:rPr>
        <w:t xml:space="preserve">Filière Administrative </w:t>
      </w:r>
      <w:r w:rsidRPr="00BC5A66">
        <w:rPr>
          <w:rFonts w:ascii="Century Gothic" w:hAnsi="Century Gothic"/>
          <w:b/>
          <w:bCs/>
          <w:sz w:val="20"/>
          <w:szCs w:val="20"/>
        </w:rPr>
        <w:t>– catégorie B</w:t>
      </w:r>
    </w:p>
    <w:p w:rsidR="001970C7" w:rsidRPr="00AA5155" w:rsidRDefault="001970C7" w:rsidP="001970C7">
      <w:pPr>
        <w:rPr>
          <w:rFonts w:ascii="Century Gothic" w:hAnsi="Century Gothic" w:cs="Arial"/>
          <w:b/>
          <w:sz w:val="16"/>
          <w:szCs w:val="16"/>
        </w:rPr>
      </w:pPr>
    </w:p>
    <w:p w:rsidR="001970C7" w:rsidRDefault="001970C7" w:rsidP="001970C7">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154DD4">
        <w:rPr>
          <w:rFonts w:ascii="Century Gothic" w:hAnsi="Century Gothic" w:cs="Arial"/>
          <w:b/>
          <w:bCs/>
          <w:color w:val="000000"/>
          <w:sz w:val="20"/>
          <w:szCs w:val="20"/>
          <w:u w:val="single"/>
        </w:rPr>
        <w:t>MISSIONS </w:t>
      </w:r>
    </w:p>
    <w:p w:rsidR="001970C7" w:rsidRPr="00AE3112" w:rsidRDefault="001970C7" w:rsidP="001970C7">
      <w:pPr>
        <w:jc w:val="both"/>
        <w:rPr>
          <w:rFonts w:ascii="Century Gothic" w:hAnsi="Century Gothic" w:cstheme="majorHAnsi"/>
          <w:sz w:val="20"/>
          <w:szCs w:val="20"/>
        </w:rPr>
      </w:pPr>
      <w:r w:rsidRPr="00AE3112">
        <w:rPr>
          <w:rFonts w:ascii="Century Gothic" w:hAnsi="Century Gothic" w:cstheme="majorHAnsi"/>
          <w:sz w:val="20"/>
          <w:szCs w:val="20"/>
        </w:rPr>
        <w:t>Gérer les procédures d’acquisition ou de cession des biens de la Ville</w:t>
      </w:r>
    </w:p>
    <w:p w:rsidR="001970C7" w:rsidRDefault="001970C7" w:rsidP="001970C7">
      <w:pPr>
        <w:jc w:val="both"/>
        <w:rPr>
          <w:rFonts w:ascii="Century Gothic" w:hAnsi="Century Gothic" w:cs="Arial"/>
          <w:sz w:val="20"/>
          <w:szCs w:val="20"/>
        </w:rPr>
      </w:pPr>
    </w:p>
    <w:p w:rsidR="001970C7" w:rsidRDefault="001970C7" w:rsidP="001970C7">
      <w:pPr>
        <w:jc w:val="both"/>
        <w:rPr>
          <w:rFonts w:ascii="Century Gothic" w:hAnsi="Century Gothic" w:cs="Arial"/>
          <w:b/>
          <w:bCs/>
          <w:sz w:val="20"/>
          <w:szCs w:val="20"/>
          <w:u w:val="single"/>
        </w:rPr>
      </w:pPr>
      <w:r w:rsidRPr="00F033EE">
        <w:rPr>
          <w:rFonts w:ascii="Century Gothic" w:hAnsi="Century Gothic" w:cs="Arial"/>
          <w:b/>
          <w:bCs/>
          <w:sz w:val="20"/>
          <w:szCs w:val="20"/>
          <w:u w:val="single"/>
        </w:rPr>
        <w:t>ACTIVITES</w:t>
      </w:r>
    </w:p>
    <w:p w:rsidR="001970C7" w:rsidRPr="005E20B8" w:rsidRDefault="001970C7" w:rsidP="001970C7">
      <w:pPr>
        <w:spacing w:line="276" w:lineRule="auto"/>
        <w:jc w:val="both"/>
        <w:rPr>
          <w:rFonts w:ascii="Century Gothic" w:hAnsi="Century Gothic" w:cs="Calibri"/>
          <w:b/>
          <w:bCs/>
          <w:sz w:val="20"/>
          <w:szCs w:val="20"/>
        </w:rPr>
      </w:pPr>
      <w:r w:rsidRPr="005E20B8">
        <w:rPr>
          <w:rFonts w:ascii="Century Gothic" w:hAnsi="Century Gothic" w:cs="Calibri"/>
          <w:b/>
          <w:bCs/>
          <w:sz w:val="20"/>
          <w:szCs w:val="20"/>
        </w:rPr>
        <w:t>Instruire et suivre les procédures foncières (40%) :</w:t>
      </w:r>
    </w:p>
    <w:p w:rsidR="001970C7" w:rsidRPr="005E20B8" w:rsidRDefault="001970C7" w:rsidP="001970C7">
      <w:pPr>
        <w:pStyle w:val="Paragraphedeliste"/>
        <w:numPr>
          <w:ilvl w:val="0"/>
          <w:numId w:val="1"/>
        </w:numPr>
        <w:spacing w:after="160" w:line="276" w:lineRule="auto"/>
        <w:ind w:left="447" w:hanging="357"/>
        <w:jc w:val="both"/>
        <w:rPr>
          <w:rFonts w:ascii="Century Gothic" w:hAnsi="Century Gothic" w:cs="Calibri"/>
          <w:sz w:val="20"/>
          <w:szCs w:val="20"/>
        </w:rPr>
      </w:pPr>
      <w:r w:rsidRPr="005E20B8">
        <w:rPr>
          <w:rFonts w:ascii="Century Gothic" w:hAnsi="Century Gothic" w:cs="Calibri"/>
          <w:sz w:val="20"/>
          <w:szCs w:val="20"/>
        </w:rPr>
        <w:t>Participer à la bonne réalisation des mutations (acquisition/cession) à travers les procédures liées : acquisition amiable, préemption et expropriation</w:t>
      </w:r>
    </w:p>
    <w:p w:rsidR="001970C7" w:rsidRPr="005E20B8" w:rsidRDefault="001970C7" w:rsidP="001970C7">
      <w:pPr>
        <w:pStyle w:val="Paragraphedeliste"/>
        <w:numPr>
          <w:ilvl w:val="0"/>
          <w:numId w:val="1"/>
        </w:numPr>
        <w:spacing w:after="160" w:line="276" w:lineRule="auto"/>
        <w:ind w:left="447" w:hanging="357"/>
        <w:jc w:val="both"/>
        <w:rPr>
          <w:rFonts w:ascii="Century Gothic" w:hAnsi="Century Gothic" w:cs="Calibri"/>
          <w:sz w:val="20"/>
          <w:szCs w:val="20"/>
        </w:rPr>
      </w:pPr>
      <w:r w:rsidRPr="005E20B8">
        <w:rPr>
          <w:rFonts w:ascii="Century Gothic" w:hAnsi="Century Gothic" w:cs="Calibri"/>
          <w:sz w:val="20"/>
          <w:szCs w:val="20"/>
        </w:rPr>
        <w:t>Assurer le suivi des classements et déclassements du domaine public</w:t>
      </w:r>
    </w:p>
    <w:p w:rsidR="001970C7" w:rsidRPr="005E20B8" w:rsidRDefault="001970C7" w:rsidP="001970C7">
      <w:pPr>
        <w:pStyle w:val="Paragraphedeliste"/>
        <w:numPr>
          <w:ilvl w:val="0"/>
          <w:numId w:val="1"/>
        </w:numPr>
        <w:spacing w:after="160" w:line="276" w:lineRule="auto"/>
        <w:ind w:left="447" w:hanging="357"/>
        <w:jc w:val="both"/>
        <w:rPr>
          <w:rFonts w:ascii="Century Gothic" w:hAnsi="Century Gothic" w:cs="Calibri"/>
          <w:sz w:val="20"/>
          <w:szCs w:val="20"/>
        </w:rPr>
      </w:pPr>
      <w:r w:rsidRPr="005E20B8">
        <w:rPr>
          <w:rFonts w:ascii="Century Gothic" w:hAnsi="Century Gothic" w:cs="Calibri"/>
          <w:sz w:val="20"/>
          <w:szCs w:val="20"/>
        </w:rPr>
        <w:t xml:space="preserve">Poursuivre les travaux et procédures inhérents aux servitudes </w:t>
      </w:r>
    </w:p>
    <w:p w:rsidR="001970C7" w:rsidRPr="005E20B8" w:rsidRDefault="001970C7" w:rsidP="001970C7">
      <w:pPr>
        <w:pStyle w:val="Paragraphedeliste"/>
        <w:numPr>
          <w:ilvl w:val="0"/>
          <w:numId w:val="1"/>
        </w:numPr>
        <w:spacing w:after="160" w:line="276" w:lineRule="auto"/>
        <w:ind w:left="447" w:hanging="357"/>
        <w:jc w:val="both"/>
        <w:rPr>
          <w:rFonts w:ascii="Century Gothic" w:hAnsi="Century Gothic" w:cs="Calibri"/>
          <w:sz w:val="20"/>
          <w:szCs w:val="20"/>
        </w:rPr>
      </w:pPr>
      <w:r w:rsidRPr="005E20B8">
        <w:rPr>
          <w:rFonts w:ascii="Century Gothic" w:hAnsi="Century Gothic" w:cs="Calibri"/>
          <w:sz w:val="20"/>
          <w:szCs w:val="20"/>
        </w:rPr>
        <w:t>Accompagner le responsable du service sur les partenariats dans le cadre des conventions, assurer la pérennité et la justesse du partenariat (respect des délais et des procédures, rappel réglementaire et cadre des conventions)</w:t>
      </w:r>
    </w:p>
    <w:p w:rsidR="001970C7" w:rsidRPr="005E20B8" w:rsidRDefault="001970C7" w:rsidP="001970C7">
      <w:pPr>
        <w:pStyle w:val="Paragraphedeliste"/>
        <w:numPr>
          <w:ilvl w:val="0"/>
          <w:numId w:val="1"/>
        </w:numPr>
        <w:spacing w:after="160" w:line="276" w:lineRule="auto"/>
        <w:ind w:left="447" w:hanging="357"/>
        <w:jc w:val="both"/>
        <w:rPr>
          <w:rFonts w:ascii="Century Gothic" w:hAnsi="Century Gothic" w:cs="Calibri"/>
          <w:sz w:val="20"/>
          <w:szCs w:val="20"/>
        </w:rPr>
      </w:pPr>
      <w:r w:rsidRPr="005E20B8">
        <w:rPr>
          <w:rFonts w:ascii="Century Gothic" w:hAnsi="Century Gothic" w:cs="Calibri"/>
          <w:sz w:val="20"/>
          <w:szCs w:val="20"/>
        </w:rPr>
        <w:t>Lancer les procédures d’enquête publique afférentes aux affaires foncières</w:t>
      </w:r>
    </w:p>
    <w:p w:rsidR="001970C7" w:rsidRPr="005E20B8" w:rsidRDefault="001970C7" w:rsidP="001970C7">
      <w:pPr>
        <w:pStyle w:val="Paragraphedeliste"/>
        <w:numPr>
          <w:ilvl w:val="0"/>
          <w:numId w:val="1"/>
        </w:numPr>
        <w:spacing w:after="160" w:line="276" w:lineRule="auto"/>
        <w:ind w:left="447" w:hanging="357"/>
        <w:jc w:val="both"/>
        <w:rPr>
          <w:rFonts w:ascii="Century Gothic" w:hAnsi="Century Gothic" w:cs="Calibri"/>
          <w:sz w:val="20"/>
          <w:szCs w:val="20"/>
        </w:rPr>
      </w:pPr>
      <w:r w:rsidRPr="005E20B8">
        <w:rPr>
          <w:rFonts w:ascii="Century Gothic" w:hAnsi="Century Gothic" w:cs="Calibri"/>
          <w:sz w:val="20"/>
          <w:szCs w:val="20"/>
        </w:rPr>
        <w:t>Suivre les actes notariés et alerter sur les risques juridiques et opérationnels liés au foncier (respect des délais, contraintes financières)</w:t>
      </w:r>
    </w:p>
    <w:p w:rsidR="001970C7" w:rsidRPr="005E20B8" w:rsidRDefault="001970C7" w:rsidP="001970C7">
      <w:pPr>
        <w:pStyle w:val="Paragraphedeliste"/>
        <w:numPr>
          <w:ilvl w:val="0"/>
          <w:numId w:val="1"/>
        </w:numPr>
        <w:spacing w:after="160" w:line="276" w:lineRule="auto"/>
        <w:ind w:left="447" w:hanging="357"/>
        <w:jc w:val="both"/>
        <w:rPr>
          <w:rFonts w:ascii="Century Gothic" w:hAnsi="Century Gothic" w:cs="Calibri"/>
          <w:sz w:val="20"/>
          <w:szCs w:val="20"/>
        </w:rPr>
      </w:pPr>
      <w:r w:rsidRPr="005E20B8">
        <w:rPr>
          <w:rFonts w:ascii="Century Gothic" w:hAnsi="Century Gothic" w:cs="Calibri"/>
          <w:sz w:val="20"/>
          <w:szCs w:val="20"/>
        </w:rPr>
        <w:t>Travailler en transversalité avec les partenaires et les autres directions (géomètre, notaires, etc.)</w:t>
      </w:r>
    </w:p>
    <w:p w:rsidR="001970C7" w:rsidRPr="005E20B8" w:rsidRDefault="001970C7" w:rsidP="001970C7">
      <w:pPr>
        <w:pStyle w:val="Paragraphedeliste"/>
        <w:spacing w:line="276" w:lineRule="auto"/>
        <w:ind w:left="447"/>
        <w:jc w:val="both"/>
        <w:rPr>
          <w:rFonts w:ascii="Century Gothic" w:hAnsi="Century Gothic" w:cs="Calibri"/>
          <w:sz w:val="20"/>
          <w:szCs w:val="20"/>
        </w:rPr>
      </w:pPr>
    </w:p>
    <w:p w:rsidR="001970C7" w:rsidRPr="005E20B8" w:rsidRDefault="001970C7" w:rsidP="001970C7">
      <w:pPr>
        <w:spacing w:line="276" w:lineRule="auto"/>
        <w:jc w:val="both"/>
        <w:rPr>
          <w:rFonts w:ascii="Century Gothic" w:hAnsi="Century Gothic" w:cs="Calibri"/>
          <w:b/>
          <w:bCs/>
          <w:sz w:val="20"/>
          <w:szCs w:val="20"/>
        </w:rPr>
      </w:pPr>
      <w:r w:rsidRPr="005E20B8">
        <w:rPr>
          <w:rFonts w:ascii="Century Gothic" w:hAnsi="Century Gothic" w:cs="Calibri"/>
          <w:b/>
          <w:bCs/>
          <w:sz w:val="20"/>
          <w:szCs w:val="20"/>
        </w:rPr>
        <w:t>Effectuer une veille juridique Foncière (35%)</w:t>
      </w:r>
    </w:p>
    <w:p w:rsidR="001970C7" w:rsidRPr="005E20B8" w:rsidRDefault="001970C7" w:rsidP="001970C7">
      <w:pPr>
        <w:pStyle w:val="Paragraphedeliste"/>
        <w:numPr>
          <w:ilvl w:val="0"/>
          <w:numId w:val="2"/>
        </w:numPr>
        <w:spacing w:after="160" w:line="276" w:lineRule="auto"/>
        <w:ind w:left="447"/>
        <w:jc w:val="both"/>
        <w:rPr>
          <w:rFonts w:ascii="Century Gothic" w:hAnsi="Century Gothic" w:cs="Calibri"/>
          <w:sz w:val="20"/>
          <w:szCs w:val="20"/>
        </w:rPr>
      </w:pPr>
      <w:r w:rsidRPr="005E20B8">
        <w:rPr>
          <w:rFonts w:ascii="Century Gothic" w:hAnsi="Century Gothic" w:cs="Calibri"/>
          <w:sz w:val="20"/>
          <w:szCs w:val="20"/>
        </w:rPr>
        <w:t>Accompagner la procédure de veille foncière avec le conseiller DIA : du rôle de guichet unique à la mobilisation sur la DIA.</w:t>
      </w:r>
    </w:p>
    <w:p w:rsidR="001970C7" w:rsidRPr="005E20B8" w:rsidRDefault="001970C7" w:rsidP="001970C7">
      <w:pPr>
        <w:pStyle w:val="Paragraphedeliste"/>
        <w:numPr>
          <w:ilvl w:val="0"/>
          <w:numId w:val="2"/>
        </w:numPr>
        <w:spacing w:after="160" w:line="276" w:lineRule="auto"/>
        <w:ind w:left="447"/>
        <w:jc w:val="both"/>
        <w:rPr>
          <w:rFonts w:ascii="Century Gothic" w:hAnsi="Century Gothic" w:cs="Calibri"/>
          <w:sz w:val="20"/>
          <w:szCs w:val="20"/>
        </w:rPr>
      </w:pPr>
      <w:r w:rsidRPr="005E20B8">
        <w:rPr>
          <w:rFonts w:ascii="Century Gothic" w:hAnsi="Century Gothic" w:cs="Calibri"/>
          <w:sz w:val="20"/>
          <w:szCs w:val="20"/>
        </w:rPr>
        <w:t>Mettre en œuvre les outils techniques fonciers et les méthodes appropriées pour améliorer le processus de veille foncière</w:t>
      </w:r>
    </w:p>
    <w:p w:rsidR="001970C7" w:rsidRPr="005E20B8" w:rsidRDefault="001970C7" w:rsidP="001970C7">
      <w:pPr>
        <w:pStyle w:val="Paragraphedeliste"/>
        <w:spacing w:line="276" w:lineRule="auto"/>
        <w:ind w:left="447"/>
        <w:jc w:val="both"/>
        <w:rPr>
          <w:rFonts w:ascii="Century Gothic" w:hAnsi="Century Gothic" w:cs="Calibri"/>
          <w:sz w:val="20"/>
          <w:szCs w:val="20"/>
        </w:rPr>
      </w:pPr>
    </w:p>
    <w:p w:rsidR="001970C7" w:rsidRPr="005E20B8" w:rsidRDefault="001970C7" w:rsidP="001970C7">
      <w:pPr>
        <w:spacing w:line="276" w:lineRule="auto"/>
        <w:jc w:val="both"/>
        <w:rPr>
          <w:rFonts w:ascii="Century Gothic" w:hAnsi="Century Gothic" w:cs="Calibri"/>
          <w:b/>
          <w:bCs/>
          <w:sz w:val="20"/>
          <w:szCs w:val="20"/>
        </w:rPr>
      </w:pPr>
      <w:r w:rsidRPr="005E20B8">
        <w:rPr>
          <w:rFonts w:ascii="Century Gothic" w:hAnsi="Century Gothic" w:cs="Calibri"/>
          <w:b/>
          <w:bCs/>
          <w:sz w:val="20"/>
          <w:szCs w:val="20"/>
        </w:rPr>
        <w:t>Assurer le suivi administratif des dossiers fonciers</w:t>
      </w:r>
    </w:p>
    <w:p w:rsidR="001970C7" w:rsidRPr="005E20B8" w:rsidRDefault="001970C7" w:rsidP="001970C7">
      <w:pPr>
        <w:pStyle w:val="Paragraphedeliste"/>
        <w:numPr>
          <w:ilvl w:val="0"/>
          <w:numId w:val="3"/>
        </w:numPr>
        <w:spacing w:after="200" w:line="276" w:lineRule="auto"/>
        <w:ind w:left="447"/>
        <w:jc w:val="both"/>
        <w:rPr>
          <w:rFonts w:ascii="Century Gothic" w:hAnsi="Century Gothic" w:cs="Calibri"/>
          <w:sz w:val="20"/>
          <w:szCs w:val="20"/>
        </w:rPr>
      </w:pPr>
      <w:r w:rsidRPr="005E20B8">
        <w:rPr>
          <w:rFonts w:ascii="Century Gothic" w:hAnsi="Century Gothic" w:cs="Calibri"/>
          <w:sz w:val="20"/>
          <w:szCs w:val="20"/>
        </w:rPr>
        <w:t xml:space="preserve">Rédiger et enregistrer les courriers en l’absence de la personne dédiée </w:t>
      </w:r>
    </w:p>
    <w:p w:rsidR="001970C7" w:rsidRPr="005E20B8" w:rsidRDefault="001970C7" w:rsidP="001970C7">
      <w:pPr>
        <w:pStyle w:val="Paragraphedeliste"/>
        <w:numPr>
          <w:ilvl w:val="0"/>
          <w:numId w:val="3"/>
        </w:numPr>
        <w:spacing w:after="200" w:line="276" w:lineRule="auto"/>
        <w:ind w:left="447"/>
        <w:jc w:val="both"/>
        <w:rPr>
          <w:rFonts w:ascii="Century Gothic" w:hAnsi="Century Gothic" w:cs="Calibri"/>
          <w:sz w:val="20"/>
          <w:szCs w:val="20"/>
        </w:rPr>
      </w:pPr>
      <w:r w:rsidRPr="005E20B8">
        <w:rPr>
          <w:rFonts w:ascii="Century Gothic" w:hAnsi="Century Gothic" w:cs="Calibri"/>
          <w:sz w:val="20"/>
          <w:szCs w:val="20"/>
        </w:rPr>
        <w:t xml:space="preserve">Participer aux productions de l’équipe : élaborer des dossiers Fonciers et les tableaux de suivi liés </w:t>
      </w:r>
    </w:p>
    <w:p w:rsidR="001970C7" w:rsidRPr="005E20B8" w:rsidRDefault="001970C7" w:rsidP="001970C7">
      <w:pPr>
        <w:jc w:val="both"/>
        <w:rPr>
          <w:rFonts w:ascii="Century Gothic" w:hAnsi="Century Gothic" w:cs="Calibri"/>
          <w:sz w:val="20"/>
          <w:szCs w:val="20"/>
        </w:rPr>
      </w:pPr>
      <w:r w:rsidRPr="005E20B8">
        <w:rPr>
          <w:rFonts w:ascii="Century Gothic" w:hAnsi="Century Gothic" w:cs="Calibri"/>
          <w:sz w:val="20"/>
          <w:szCs w:val="20"/>
        </w:rPr>
        <w:t>Réceptionner et enregistrer les DIA en l’absence de la personne dédiée</w:t>
      </w:r>
    </w:p>
    <w:p w:rsidR="001970C7" w:rsidRPr="00F033EE" w:rsidRDefault="001970C7" w:rsidP="001970C7">
      <w:pPr>
        <w:jc w:val="both"/>
        <w:rPr>
          <w:rFonts w:ascii="Century Gothic" w:hAnsi="Century Gothic" w:cs="Arial"/>
          <w:b/>
          <w:bCs/>
          <w:sz w:val="20"/>
          <w:szCs w:val="20"/>
          <w:u w:val="single"/>
        </w:rPr>
      </w:pPr>
    </w:p>
    <w:p w:rsidR="001970C7" w:rsidRDefault="001970C7" w:rsidP="001970C7">
      <w:pPr>
        <w:jc w:val="both"/>
        <w:rPr>
          <w:rFonts w:ascii="Century Gothic" w:hAnsi="Century Gothic" w:cs="Arial"/>
          <w:b/>
          <w:bCs/>
          <w:sz w:val="20"/>
          <w:szCs w:val="20"/>
          <w:u w:val="single"/>
        </w:rPr>
      </w:pPr>
      <w:r w:rsidRPr="00F033EE">
        <w:rPr>
          <w:rFonts w:ascii="Century Gothic" w:hAnsi="Century Gothic" w:cs="Arial"/>
          <w:b/>
          <w:bCs/>
          <w:sz w:val="20"/>
          <w:szCs w:val="20"/>
          <w:u w:val="single"/>
        </w:rPr>
        <w:t>COMPETENCES REQUISES</w:t>
      </w:r>
    </w:p>
    <w:p w:rsidR="001970C7" w:rsidRDefault="001970C7" w:rsidP="001970C7">
      <w:pPr>
        <w:jc w:val="both"/>
        <w:rPr>
          <w:rFonts w:ascii="Century Gothic" w:hAnsi="Century Gothic" w:cs="Arial"/>
          <w:b/>
          <w:bCs/>
          <w:sz w:val="20"/>
          <w:szCs w:val="20"/>
          <w:u w:val="single"/>
        </w:rPr>
      </w:pPr>
      <w:r>
        <w:rPr>
          <w:rFonts w:ascii="Century Gothic" w:hAnsi="Century Gothic" w:cs="Arial"/>
          <w:b/>
          <w:bCs/>
          <w:sz w:val="20"/>
          <w:szCs w:val="20"/>
          <w:u w:val="single"/>
        </w:rPr>
        <w:t>Connaissances</w:t>
      </w:r>
    </w:p>
    <w:p w:rsidR="001970C7" w:rsidRPr="005E20B8" w:rsidRDefault="001970C7" w:rsidP="001970C7">
      <w:pPr>
        <w:jc w:val="both"/>
        <w:rPr>
          <w:rFonts w:ascii="Century Gothic" w:hAnsi="Century Gothic"/>
          <w:color w:val="44546A" w:themeColor="text2"/>
          <w:sz w:val="18"/>
          <w:szCs w:val="18"/>
        </w:rPr>
      </w:pPr>
      <w:r w:rsidRPr="005E20B8">
        <w:rPr>
          <w:rFonts w:ascii="Century Gothic" w:hAnsi="Century Gothic" w:cstheme="minorHAnsi"/>
          <w:sz w:val="20"/>
          <w:szCs w:val="20"/>
        </w:rPr>
        <w:t>Droit civil et droit de l’urbanisme (domaine foncier, CG3P notamment)</w:t>
      </w:r>
    </w:p>
    <w:p w:rsidR="001970C7" w:rsidRPr="005E20B8" w:rsidRDefault="001970C7" w:rsidP="001970C7">
      <w:pPr>
        <w:jc w:val="both"/>
        <w:rPr>
          <w:rFonts w:ascii="Century Gothic" w:hAnsi="Century Gothic"/>
          <w:sz w:val="18"/>
          <w:szCs w:val="18"/>
        </w:rPr>
      </w:pPr>
      <w:r w:rsidRPr="005E20B8">
        <w:rPr>
          <w:rFonts w:ascii="Century Gothic" w:hAnsi="Century Gothic" w:cstheme="minorHAnsi"/>
          <w:sz w:val="20"/>
          <w:szCs w:val="20"/>
        </w:rPr>
        <w:t>Environnement économique et social de la collectivité</w:t>
      </w:r>
    </w:p>
    <w:p w:rsidR="001970C7" w:rsidRDefault="001970C7" w:rsidP="001970C7">
      <w:pPr>
        <w:jc w:val="both"/>
        <w:rPr>
          <w:rFonts w:ascii="Century Gothic" w:hAnsi="Century Gothic" w:cs="Arial"/>
          <w:b/>
          <w:bCs/>
          <w:sz w:val="20"/>
          <w:szCs w:val="20"/>
          <w:u w:val="single"/>
        </w:rPr>
      </w:pPr>
      <w:r>
        <w:rPr>
          <w:rFonts w:ascii="Century Gothic" w:hAnsi="Century Gothic" w:cs="Arial"/>
          <w:b/>
          <w:bCs/>
          <w:sz w:val="20"/>
          <w:szCs w:val="20"/>
          <w:u w:val="single"/>
        </w:rPr>
        <w:t>Savoirs faire Techniques</w:t>
      </w:r>
    </w:p>
    <w:p w:rsidR="001970C7" w:rsidRPr="00F033EE" w:rsidRDefault="001970C7" w:rsidP="001970C7">
      <w:pPr>
        <w:jc w:val="both"/>
        <w:rPr>
          <w:rFonts w:ascii="Century Gothic" w:hAnsi="Century Gothic" w:cs="Arial"/>
          <w:sz w:val="20"/>
          <w:szCs w:val="20"/>
        </w:rPr>
      </w:pPr>
      <w:r w:rsidRPr="00F033EE">
        <w:rPr>
          <w:rFonts w:ascii="Century Gothic" w:hAnsi="Century Gothic" w:cs="Arial"/>
          <w:sz w:val="20"/>
          <w:szCs w:val="20"/>
        </w:rPr>
        <w:t>Rédiger des actes et des documents administratifs</w:t>
      </w:r>
    </w:p>
    <w:p w:rsidR="001970C7" w:rsidRPr="00F033EE" w:rsidRDefault="001970C7" w:rsidP="001970C7">
      <w:pPr>
        <w:jc w:val="both"/>
        <w:rPr>
          <w:rFonts w:ascii="Century Gothic" w:hAnsi="Century Gothic" w:cs="Arial"/>
          <w:sz w:val="20"/>
          <w:szCs w:val="20"/>
        </w:rPr>
      </w:pPr>
      <w:r w:rsidRPr="00F033EE">
        <w:rPr>
          <w:rFonts w:ascii="Century Gothic" w:hAnsi="Century Gothic" w:cs="Arial"/>
          <w:sz w:val="20"/>
          <w:szCs w:val="20"/>
        </w:rPr>
        <w:t>Gérer une base de données sur un logiciel, un outil dédié</w:t>
      </w:r>
    </w:p>
    <w:p w:rsidR="001970C7" w:rsidRPr="00F033EE" w:rsidRDefault="001970C7" w:rsidP="001970C7">
      <w:pPr>
        <w:jc w:val="both"/>
        <w:rPr>
          <w:rFonts w:ascii="Century Gothic" w:hAnsi="Century Gothic" w:cs="Arial"/>
          <w:sz w:val="20"/>
          <w:szCs w:val="20"/>
        </w:rPr>
      </w:pPr>
      <w:r w:rsidRPr="00F033EE">
        <w:rPr>
          <w:rFonts w:ascii="Century Gothic" w:hAnsi="Century Gothic" w:cs="Arial"/>
          <w:sz w:val="20"/>
          <w:szCs w:val="20"/>
        </w:rPr>
        <w:t>Echanger et négocier avec des interlocuteurs variés</w:t>
      </w:r>
    </w:p>
    <w:p w:rsidR="001970C7" w:rsidRPr="00F033EE" w:rsidRDefault="001970C7" w:rsidP="001970C7">
      <w:pPr>
        <w:jc w:val="both"/>
        <w:rPr>
          <w:rFonts w:ascii="Century Gothic" w:hAnsi="Century Gothic" w:cs="Arial"/>
          <w:sz w:val="20"/>
          <w:szCs w:val="20"/>
        </w:rPr>
      </w:pPr>
      <w:r w:rsidRPr="00F033EE">
        <w:rPr>
          <w:rFonts w:ascii="Century Gothic" w:hAnsi="Century Gothic" w:cs="Arial"/>
          <w:sz w:val="20"/>
          <w:szCs w:val="20"/>
        </w:rPr>
        <w:t>Elaborer et suivre des tableaux de bord</w:t>
      </w:r>
    </w:p>
    <w:p w:rsidR="001970C7" w:rsidRPr="00F033EE" w:rsidRDefault="001970C7" w:rsidP="001970C7">
      <w:pPr>
        <w:jc w:val="both"/>
        <w:rPr>
          <w:rFonts w:ascii="Century Gothic" w:hAnsi="Century Gothic" w:cs="Arial"/>
          <w:sz w:val="20"/>
          <w:szCs w:val="20"/>
        </w:rPr>
      </w:pPr>
      <w:r w:rsidRPr="00F033EE">
        <w:rPr>
          <w:rFonts w:ascii="Century Gothic" w:hAnsi="Century Gothic" w:cs="Arial"/>
          <w:sz w:val="20"/>
          <w:szCs w:val="20"/>
        </w:rPr>
        <w:t>Appliquer des procédures techniques et/ou administratives</w:t>
      </w:r>
    </w:p>
    <w:p w:rsidR="001970C7" w:rsidRPr="00F033EE" w:rsidRDefault="001970C7" w:rsidP="001970C7">
      <w:pPr>
        <w:jc w:val="both"/>
        <w:rPr>
          <w:rFonts w:ascii="Century Gothic" w:hAnsi="Century Gothic" w:cs="Arial"/>
          <w:sz w:val="20"/>
          <w:szCs w:val="20"/>
        </w:rPr>
      </w:pPr>
      <w:r w:rsidRPr="00F033EE">
        <w:rPr>
          <w:rFonts w:ascii="Century Gothic" w:hAnsi="Century Gothic" w:cs="Arial"/>
          <w:sz w:val="20"/>
          <w:szCs w:val="20"/>
        </w:rPr>
        <w:t>Effectuer une veille juridique</w:t>
      </w:r>
    </w:p>
    <w:p w:rsidR="001970C7" w:rsidRDefault="001970C7" w:rsidP="001970C7">
      <w:pPr>
        <w:jc w:val="both"/>
        <w:rPr>
          <w:rFonts w:ascii="Century Gothic" w:hAnsi="Century Gothic" w:cs="Arial"/>
          <w:sz w:val="20"/>
          <w:szCs w:val="20"/>
        </w:rPr>
      </w:pPr>
      <w:r w:rsidRPr="00F033EE">
        <w:rPr>
          <w:rFonts w:ascii="Century Gothic" w:hAnsi="Century Gothic" w:cs="Arial"/>
          <w:sz w:val="20"/>
          <w:szCs w:val="20"/>
        </w:rPr>
        <w:t>Accompagner et conseiller les autres services et/ou usagers</w:t>
      </w:r>
    </w:p>
    <w:p w:rsidR="001970C7" w:rsidRDefault="001970C7" w:rsidP="001970C7">
      <w:pPr>
        <w:rPr>
          <w:rFonts w:ascii="Century Gothic" w:hAnsi="Century Gothic" w:cs="Arial"/>
          <w:b/>
          <w:bCs/>
          <w:sz w:val="20"/>
          <w:szCs w:val="20"/>
          <w:u w:val="single"/>
        </w:rPr>
      </w:pPr>
    </w:p>
    <w:p w:rsidR="001970C7" w:rsidRDefault="001970C7" w:rsidP="001970C7">
      <w:pPr>
        <w:rPr>
          <w:rFonts w:ascii="Century Gothic" w:hAnsi="Century Gothic" w:cs="Arial"/>
          <w:b/>
          <w:bCs/>
          <w:sz w:val="20"/>
          <w:szCs w:val="20"/>
          <w:u w:val="single"/>
        </w:rPr>
      </w:pPr>
      <w:r w:rsidRPr="00AE3112">
        <w:rPr>
          <w:rFonts w:ascii="Century Gothic" w:hAnsi="Century Gothic" w:cs="Arial"/>
          <w:b/>
          <w:bCs/>
          <w:sz w:val="20"/>
          <w:szCs w:val="20"/>
          <w:u w:val="single"/>
        </w:rPr>
        <w:lastRenderedPageBreak/>
        <w:t>Qualités Professionnelles</w:t>
      </w:r>
    </w:p>
    <w:p w:rsidR="001970C7" w:rsidRPr="00AE3112" w:rsidRDefault="001970C7" w:rsidP="001970C7">
      <w:pPr>
        <w:jc w:val="both"/>
        <w:rPr>
          <w:rFonts w:ascii="Century Gothic" w:hAnsi="Century Gothic" w:cs="Arial"/>
          <w:sz w:val="20"/>
          <w:szCs w:val="20"/>
        </w:rPr>
      </w:pPr>
      <w:r w:rsidRPr="00AE3112">
        <w:rPr>
          <w:rFonts w:ascii="Century Gothic" w:hAnsi="Century Gothic" w:cs="Arial"/>
          <w:sz w:val="20"/>
          <w:szCs w:val="20"/>
        </w:rPr>
        <w:t>Capacité de réserve et de discrétion nécessaire à l'exercice professionnel</w:t>
      </w:r>
    </w:p>
    <w:p w:rsidR="001970C7" w:rsidRPr="00AE3112" w:rsidRDefault="001970C7" w:rsidP="001970C7">
      <w:pPr>
        <w:jc w:val="both"/>
        <w:rPr>
          <w:rFonts w:ascii="Century Gothic" w:hAnsi="Century Gothic" w:cs="Arial"/>
          <w:sz w:val="20"/>
          <w:szCs w:val="20"/>
        </w:rPr>
      </w:pPr>
      <w:r w:rsidRPr="00AE3112">
        <w:rPr>
          <w:rFonts w:ascii="Century Gothic" w:hAnsi="Century Gothic" w:cs="Arial"/>
          <w:sz w:val="20"/>
          <w:szCs w:val="20"/>
        </w:rPr>
        <w:t>Sens des responsabilités et du service public</w:t>
      </w:r>
    </w:p>
    <w:p w:rsidR="001970C7" w:rsidRPr="00AE3112" w:rsidRDefault="001970C7" w:rsidP="001970C7">
      <w:pPr>
        <w:jc w:val="both"/>
        <w:rPr>
          <w:rFonts w:ascii="Century Gothic" w:hAnsi="Century Gothic" w:cs="Arial"/>
          <w:sz w:val="20"/>
          <w:szCs w:val="20"/>
        </w:rPr>
      </w:pPr>
      <w:r w:rsidRPr="00AE3112">
        <w:rPr>
          <w:rFonts w:ascii="Century Gothic" w:hAnsi="Century Gothic" w:cs="Arial"/>
          <w:sz w:val="20"/>
          <w:szCs w:val="20"/>
        </w:rPr>
        <w:t>Méthodique</w:t>
      </w:r>
    </w:p>
    <w:p w:rsidR="001970C7" w:rsidRPr="00AE3112" w:rsidRDefault="001970C7" w:rsidP="001970C7">
      <w:pPr>
        <w:jc w:val="both"/>
        <w:rPr>
          <w:rFonts w:ascii="Century Gothic" w:hAnsi="Century Gothic" w:cs="Arial"/>
          <w:sz w:val="20"/>
          <w:szCs w:val="20"/>
        </w:rPr>
      </w:pPr>
      <w:r w:rsidRPr="00AE3112">
        <w:rPr>
          <w:rFonts w:ascii="Century Gothic" w:hAnsi="Century Gothic" w:cs="Arial"/>
          <w:sz w:val="20"/>
          <w:szCs w:val="20"/>
        </w:rPr>
        <w:t>Rigoureux</w:t>
      </w:r>
    </w:p>
    <w:p w:rsidR="001970C7" w:rsidRPr="00AE3112" w:rsidRDefault="001970C7" w:rsidP="001970C7">
      <w:pPr>
        <w:jc w:val="both"/>
        <w:rPr>
          <w:rFonts w:ascii="Century Gothic" w:hAnsi="Century Gothic" w:cs="Arial"/>
          <w:sz w:val="20"/>
          <w:szCs w:val="20"/>
        </w:rPr>
      </w:pPr>
      <w:r w:rsidRPr="00AE3112">
        <w:rPr>
          <w:rFonts w:ascii="Century Gothic" w:hAnsi="Century Gothic" w:cs="Arial"/>
          <w:sz w:val="20"/>
          <w:szCs w:val="20"/>
        </w:rPr>
        <w:t>Esprit d’équipe</w:t>
      </w:r>
    </w:p>
    <w:p w:rsidR="001970C7" w:rsidRDefault="001970C7" w:rsidP="001970C7">
      <w:pPr>
        <w:jc w:val="both"/>
        <w:rPr>
          <w:rFonts w:ascii="Century Gothic" w:hAnsi="Century Gothic" w:cs="Arial"/>
          <w:sz w:val="20"/>
          <w:szCs w:val="20"/>
        </w:rPr>
      </w:pPr>
      <w:r w:rsidRPr="00AE3112">
        <w:rPr>
          <w:rFonts w:ascii="Century Gothic" w:hAnsi="Century Gothic" w:cs="Arial"/>
          <w:sz w:val="20"/>
          <w:szCs w:val="20"/>
        </w:rPr>
        <w:t>Esprit d’initiative</w:t>
      </w:r>
    </w:p>
    <w:p w:rsidR="001970C7" w:rsidRDefault="001970C7" w:rsidP="001970C7">
      <w:pPr>
        <w:rPr>
          <w:rFonts w:ascii="Century Gothic" w:hAnsi="Century Gothic" w:cs="Arial"/>
          <w:sz w:val="20"/>
          <w:szCs w:val="20"/>
        </w:rPr>
      </w:pPr>
    </w:p>
    <w:p w:rsidR="001970C7" w:rsidRDefault="001970C7" w:rsidP="001970C7">
      <w:pPr>
        <w:rPr>
          <w:rFonts w:ascii="Century Gothic" w:hAnsi="Century Gothic" w:cs="Arial"/>
          <w:b/>
          <w:bCs/>
          <w:sz w:val="20"/>
          <w:szCs w:val="20"/>
          <w:u w:val="single"/>
        </w:rPr>
      </w:pPr>
      <w:r w:rsidRPr="00AE3112">
        <w:rPr>
          <w:rFonts w:ascii="Century Gothic" w:hAnsi="Century Gothic" w:cs="Arial"/>
          <w:b/>
          <w:bCs/>
          <w:sz w:val="20"/>
          <w:szCs w:val="20"/>
          <w:u w:val="single"/>
        </w:rPr>
        <w:t>Relations Professionnelles</w:t>
      </w:r>
    </w:p>
    <w:p w:rsidR="001970C7" w:rsidRDefault="001970C7" w:rsidP="001970C7">
      <w:pPr>
        <w:rPr>
          <w:rFonts w:ascii="Century Gothic" w:hAnsi="Century Gothic" w:cs="Arial"/>
          <w:sz w:val="20"/>
          <w:szCs w:val="20"/>
        </w:rPr>
      </w:pPr>
      <w:r>
        <w:rPr>
          <w:rFonts w:ascii="Century Gothic" w:hAnsi="Century Gothic" w:cs="Arial"/>
          <w:b/>
          <w:bCs/>
          <w:sz w:val="20"/>
          <w:szCs w:val="20"/>
          <w:u w:val="single"/>
        </w:rPr>
        <w:t xml:space="preserve">Internes : </w:t>
      </w:r>
      <w:r w:rsidRPr="00AE3112">
        <w:rPr>
          <w:rFonts w:ascii="Century Gothic" w:hAnsi="Century Gothic" w:cs="Arial"/>
          <w:sz w:val="20"/>
          <w:szCs w:val="20"/>
        </w:rPr>
        <w:t>Services techniques (travaux et entretien sur les propriétés)</w:t>
      </w:r>
    </w:p>
    <w:p w:rsidR="001970C7" w:rsidRDefault="001970C7" w:rsidP="001970C7">
      <w:pPr>
        <w:rPr>
          <w:rFonts w:ascii="Century Gothic" w:hAnsi="Century Gothic" w:cs="Arial"/>
          <w:sz w:val="20"/>
          <w:szCs w:val="20"/>
        </w:rPr>
      </w:pPr>
      <w:r w:rsidRPr="00AE3112">
        <w:rPr>
          <w:rFonts w:ascii="Century Gothic" w:hAnsi="Century Gothic" w:cs="Arial"/>
          <w:b/>
          <w:bCs/>
          <w:sz w:val="20"/>
          <w:szCs w:val="20"/>
          <w:u w:val="single"/>
        </w:rPr>
        <w:t>Externes</w:t>
      </w:r>
      <w:r>
        <w:rPr>
          <w:rFonts w:ascii="Century Gothic" w:hAnsi="Century Gothic" w:cs="Arial"/>
          <w:sz w:val="20"/>
          <w:szCs w:val="20"/>
        </w:rPr>
        <w:t> : agences de notaires – géomètres</w:t>
      </w:r>
    </w:p>
    <w:p w:rsidR="001970C7" w:rsidRDefault="001970C7" w:rsidP="001970C7">
      <w:pPr>
        <w:rPr>
          <w:rFonts w:ascii="Century Gothic" w:hAnsi="Century Gothic" w:cs="Arial"/>
          <w:sz w:val="20"/>
          <w:szCs w:val="20"/>
        </w:rPr>
      </w:pPr>
    </w:p>
    <w:p w:rsidR="001970C7" w:rsidRDefault="001970C7" w:rsidP="001970C7">
      <w:pPr>
        <w:jc w:val="both"/>
        <w:rPr>
          <w:rFonts w:ascii="Century Gothic" w:hAnsi="Century Gothic" w:cs="Arial"/>
          <w:b/>
          <w:bCs/>
          <w:sz w:val="20"/>
          <w:szCs w:val="20"/>
          <w:u w:val="single"/>
        </w:rPr>
      </w:pPr>
      <w:r w:rsidRPr="00AE3112">
        <w:rPr>
          <w:rFonts w:ascii="Century Gothic" w:hAnsi="Century Gothic" w:cs="Arial"/>
          <w:b/>
          <w:bCs/>
          <w:sz w:val="20"/>
          <w:szCs w:val="20"/>
          <w:u w:val="single"/>
        </w:rPr>
        <w:t>CONDITIONS D’EXERCICES</w:t>
      </w:r>
    </w:p>
    <w:p w:rsidR="001970C7" w:rsidRDefault="001970C7" w:rsidP="001970C7">
      <w:pPr>
        <w:jc w:val="both"/>
        <w:rPr>
          <w:rFonts w:ascii="Century Gothic" w:hAnsi="Century Gothic" w:cs="Arial"/>
          <w:sz w:val="20"/>
          <w:szCs w:val="20"/>
        </w:rPr>
      </w:pPr>
      <w:r>
        <w:rPr>
          <w:rFonts w:ascii="Century Gothic" w:hAnsi="Century Gothic" w:cs="Arial"/>
          <w:b/>
          <w:bCs/>
          <w:sz w:val="20"/>
          <w:szCs w:val="20"/>
          <w:u w:val="single"/>
        </w:rPr>
        <w:t xml:space="preserve">Lieu : </w:t>
      </w:r>
      <w:r w:rsidRPr="00AE3112">
        <w:rPr>
          <w:rFonts w:ascii="Century Gothic" w:hAnsi="Century Gothic" w:cs="Arial"/>
          <w:sz w:val="20"/>
          <w:szCs w:val="20"/>
        </w:rPr>
        <w:t>14 bd Eisenhower - 84000 Avignon</w:t>
      </w:r>
    </w:p>
    <w:p w:rsidR="001970C7" w:rsidRDefault="001970C7" w:rsidP="001970C7">
      <w:pPr>
        <w:jc w:val="both"/>
        <w:rPr>
          <w:rFonts w:ascii="Century Gothic" w:hAnsi="Century Gothic" w:cs="Arial"/>
          <w:sz w:val="20"/>
          <w:szCs w:val="20"/>
        </w:rPr>
      </w:pPr>
      <w:r>
        <w:rPr>
          <w:rFonts w:ascii="Century Gothic" w:hAnsi="Century Gothic" w:cs="Arial"/>
          <w:sz w:val="20"/>
          <w:szCs w:val="20"/>
        </w:rPr>
        <w:t>Horaires : Cycle AASI : Plages fixes : du lundi au vendredi 9 h 00 – 11 h 30/14h00-16h00</w:t>
      </w:r>
    </w:p>
    <w:p w:rsidR="001970C7" w:rsidRDefault="001970C7" w:rsidP="001970C7">
      <w:pPr>
        <w:jc w:val="both"/>
        <w:rPr>
          <w:rFonts w:ascii="Century Gothic" w:hAnsi="Century Gothic" w:cs="Arial"/>
          <w:sz w:val="20"/>
          <w:szCs w:val="20"/>
        </w:rPr>
      </w:pPr>
      <w:r>
        <w:rPr>
          <w:rFonts w:ascii="Century Gothic" w:hAnsi="Century Gothic" w:cs="Arial"/>
          <w:sz w:val="20"/>
          <w:szCs w:val="20"/>
        </w:rPr>
        <w:t>Plages variables : du lundi au vendredi 7 h 45 – 9h00 – 11 h 30 /14h00 / 16h00 – 18h00 – Temps complet 2 cycles au choix 37h30 ou 39h.</w:t>
      </w:r>
    </w:p>
    <w:p w:rsidR="001970C7" w:rsidRPr="00031D38" w:rsidRDefault="001970C7" w:rsidP="001970C7">
      <w:pPr>
        <w:pStyle w:val="Paragraphedeliste"/>
        <w:spacing w:after="200" w:line="276" w:lineRule="auto"/>
        <w:rPr>
          <w:rFonts w:ascii="Century Gothic" w:hAnsi="Century Gothic" w:cs="Arial"/>
          <w:sz w:val="20"/>
          <w:szCs w:val="20"/>
        </w:rPr>
      </w:pPr>
    </w:p>
    <w:p w:rsidR="001970C7" w:rsidRDefault="001970C7" w:rsidP="001970C7">
      <w:pPr>
        <w:pStyle w:val="Pardfaut"/>
        <w:rPr>
          <w:rFonts w:ascii="Century Gothic" w:hAnsi="Century Gothic" w:cs="Arial"/>
          <w:sz w:val="20"/>
          <w:szCs w:val="20"/>
        </w:rPr>
      </w:pPr>
    </w:p>
    <w:p w:rsidR="001970C7" w:rsidRDefault="001970C7" w:rsidP="001970C7">
      <w:pPr>
        <w:pStyle w:val="Pardfaut"/>
        <w:rPr>
          <w:rFonts w:ascii="Century Gothic" w:hAnsi="Century Gothic" w:cs="Arial"/>
          <w:sz w:val="20"/>
          <w:szCs w:val="20"/>
        </w:rPr>
      </w:pPr>
    </w:p>
    <w:p w:rsidR="001970C7" w:rsidRPr="00031D38" w:rsidRDefault="001970C7" w:rsidP="001970C7">
      <w:pPr>
        <w:pStyle w:val="Pardfaut"/>
        <w:rPr>
          <w:rFonts w:ascii="Century Gothic" w:hAnsi="Century Gothic" w:cstheme="minorHAnsi"/>
          <w:sz w:val="20"/>
          <w:szCs w:val="20"/>
        </w:rPr>
      </w:pPr>
    </w:p>
    <w:p w:rsidR="001970C7" w:rsidRPr="00031D38" w:rsidRDefault="001970C7" w:rsidP="001970C7">
      <w:pPr>
        <w:tabs>
          <w:tab w:val="left" w:pos="9356"/>
        </w:tabs>
        <w:autoSpaceDE w:val="0"/>
        <w:autoSpaceDN w:val="0"/>
        <w:adjustRightInd w:val="0"/>
        <w:spacing w:line="240" w:lineRule="atLeast"/>
        <w:ind w:right="309"/>
        <w:jc w:val="both"/>
        <w:outlineLvl w:val="0"/>
        <w:rPr>
          <w:rFonts w:ascii="Century Gothic" w:hAnsi="Century Gothic" w:cstheme="minorHAnsi"/>
          <w:sz w:val="20"/>
          <w:szCs w:val="20"/>
        </w:rPr>
      </w:pPr>
    </w:p>
    <w:p w:rsidR="001970C7" w:rsidRPr="00031D38" w:rsidRDefault="001970C7" w:rsidP="001970C7">
      <w:pPr>
        <w:jc w:val="center"/>
        <w:rPr>
          <w:rFonts w:ascii="Century Gothic" w:eastAsiaTheme="minorHAnsi" w:hAnsi="Century Gothic"/>
          <w:b/>
          <w:sz w:val="20"/>
          <w:szCs w:val="20"/>
          <w:u w:val="single"/>
          <w:lang w:eastAsia="en-US"/>
        </w:rPr>
      </w:pPr>
      <w:r w:rsidRPr="00031D38">
        <w:rPr>
          <w:rFonts w:ascii="Century Gothic" w:eastAsiaTheme="minorHAnsi" w:hAnsi="Century Gothic"/>
          <w:b/>
          <w:sz w:val="20"/>
          <w:szCs w:val="20"/>
          <w:u w:val="single"/>
          <w:lang w:eastAsia="en-US"/>
        </w:rPr>
        <w:t>Rémunération statutaire + RIFSEEP + prime de fin d’année.</w:t>
      </w:r>
    </w:p>
    <w:p w:rsidR="001970C7" w:rsidRPr="00031D38" w:rsidRDefault="001970C7" w:rsidP="001970C7">
      <w:pPr>
        <w:spacing w:after="120"/>
        <w:ind w:left="-284" w:right="425"/>
        <w:jc w:val="center"/>
        <w:rPr>
          <w:rFonts w:ascii="Century Gothic" w:eastAsiaTheme="minorHAnsi" w:hAnsi="Century Gothic" w:cs="Arial"/>
          <w:sz w:val="20"/>
          <w:szCs w:val="20"/>
        </w:rPr>
      </w:pPr>
    </w:p>
    <w:p w:rsidR="001970C7" w:rsidRPr="00031D38" w:rsidRDefault="001970C7" w:rsidP="001970C7">
      <w:pPr>
        <w:ind w:left="-284" w:right="425"/>
        <w:jc w:val="center"/>
        <w:rPr>
          <w:rFonts w:ascii="Century Gothic" w:eastAsiaTheme="minorHAnsi" w:hAnsi="Century Gothic" w:cs="Arial"/>
          <w:sz w:val="20"/>
          <w:szCs w:val="20"/>
          <w:lang w:eastAsia="en-US"/>
        </w:rPr>
      </w:pPr>
      <w:r w:rsidRPr="00031D38">
        <w:rPr>
          <w:rFonts w:ascii="Century Gothic" w:eastAsiaTheme="minorHAnsi" w:hAnsi="Century Gothic" w:cs="Arial"/>
          <w:sz w:val="20"/>
          <w:szCs w:val="20"/>
          <w:lang w:eastAsia="en-US"/>
        </w:rPr>
        <w:t xml:space="preserve">Les candidatures doivent être adressées avant le </w:t>
      </w:r>
      <w:r>
        <w:rPr>
          <w:rFonts w:ascii="Century Gothic" w:eastAsiaTheme="minorHAnsi" w:hAnsi="Century Gothic" w:cs="Arial"/>
          <w:sz w:val="20"/>
          <w:szCs w:val="20"/>
          <w:lang w:eastAsia="en-US"/>
        </w:rPr>
        <w:t xml:space="preserve">5 juillet </w:t>
      </w:r>
      <w:r>
        <w:rPr>
          <w:rFonts w:ascii="Century Gothic" w:eastAsiaTheme="minorHAnsi" w:hAnsi="Century Gothic" w:cs="Arial"/>
          <w:sz w:val="20"/>
          <w:szCs w:val="20"/>
          <w:lang w:eastAsia="en-US"/>
        </w:rPr>
        <w:t>2025</w:t>
      </w:r>
    </w:p>
    <w:p w:rsidR="001970C7" w:rsidRDefault="001970C7" w:rsidP="001970C7">
      <w:pPr>
        <w:ind w:left="-284" w:right="425"/>
        <w:jc w:val="center"/>
        <w:rPr>
          <w:rFonts w:ascii="Century Gothic" w:eastAsiaTheme="minorHAnsi" w:hAnsi="Century Gothic" w:cs="Arial"/>
          <w:sz w:val="20"/>
          <w:szCs w:val="20"/>
          <w:lang w:eastAsia="en-US"/>
        </w:rPr>
      </w:pPr>
      <w:proofErr w:type="gramStart"/>
      <w:r w:rsidRPr="00031D38">
        <w:rPr>
          <w:rFonts w:ascii="Century Gothic" w:eastAsiaTheme="minorHAnsi" w:hAnsi="Century Gothic" w:cs="Arial"/>
          <w:sz w:val="20"/>
          <w:szCs w:val="20"/>
          <w:lang w:eastAsia="en-US"/>
        </w:rPr>
        <w:t>à</w:t>
      </w:r>
      <w:proofErr w:type="gramEnd"/>
      <w:r w:rsidRPr="00031D38">
        <w:rPr>
          <w:rFonts w:ascii="Century Gothic" w:eastAsiaTheme="minorHAnsi" w:hAnsi="Century Gothic" w:cs="Arial"/>
          <w:sz w:val="20"/>
          <w:szCs w:val="20"/>
          <w:lang w:eastAsia="en-US"/>
        </w:rPr>
        <w:t xml:space="preserve"> l’attention de M</w:t>
      </w:r>
      <w:r>
        <w:rPr>
          <w:rFonts w:ascii="Century Gothic" w:eastAsiaTheme="minorHAnsi" w:hAnsi="Century Gothic" w:cs="Arial"/>
          <w:sz w:val="20"/>
          <w:szCs w:val="20"/>
          <w:lang w:eastAsia="en-US"/>
        </w:rPr>
        <w:t>onsieur Sébastien FAIDHERBE</w:t>
      </w:r>
    </w:p>
    <w:p w:rsidR="001970C7" w:rsidRPr="00031D38" w:rsidRDefault="001970C7" w:rsidP="001970C7">
      <w:pPr>
        <w:ind w:left="-284" w:right="425"/>
        <w:jc w:val="center"/>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Directeur Développement RH</w:t>
      </w:r>
    </w:p>
    <w:p w:rsidR="001970C7" w:rsidRPr="00031D38" w:rsidRDefault="001970C7" w:rsidP="001970C7">
      <w:pPr>
        <w:ind w:left="-284" w:right="425"/>
        <w:jc w:val="center"/>
        <w:rPr>
          <w:rFonts w:ascii="Century Gothic" w:eastAsiaTheme="minorHAnsi" w:hAnsi="Century Gothic" w:cs="Arial"/>
          <w:sz w:val="20"/>
          <w:szCs w:val="20"/>
          <w:lang w:eastAsia="en-US"/>
        </w:rPr>
      </w:pPr>
      <w:r w:rsidRPr="00031D38">
        <w:rPr>
          <w:rFonts w:ascii="Century Gothic" w:eastAsiaTheme="minorHAnsi" w:hAnsi="Century Gothic" w:cs="Arial"/>
          <w:sz w:val="20"/>
          <w:szCs w:val="20"/>
          <w:lang w:eastAsia="en-US"/>
        </w:rPr>
        <w:t>1, rue Racine – 84045 Avignon Cedex 9</w:t>
      </w:r>
    </w:p>
    <w:p w:rsidR="001970C7" w:rsidRPr="00031D38" w:rsidRDefault="001970C7" w:rsidP="001970C7">
      <w:pPr>
        <w:spacing w:after="120"/>
        <w:ind w:left="-284" w:right="425"/>
        <w:jc w:val="center"/>
        <w:rPr>
          <w:rFonts w:ascii="Century Gothic" w:eastAsiaTheme="minorHAnsi" w:hAnsi="Century Gothic" w:cs="Arial"/>
          <w:sz w:val="20"/>
          <w:szCs w:val="20"/>
          <w:u w:val="single"/>
          <w:lang w:eastAsia="en-US"/>
        </w:rPr>
      </w:pPr>
      <w:proofErr w:type="gramStart"/>
      <w:r w:rsidRPr="00031D38">
        <w:rPr>
          <w:rFonts w:ascii="Century Gothic" w:eastAsiaTheme="minorHAnsi" w:hAnsi="Century Gothic" w:cs="Arial"/>
          <w:sz w:val="20"/>
          <w:szCs w:val="20"/>
          <w:lang w:eastAsia="en-US"/>
        </w:rPr>
        <w:t>ou</w:t>
      </w:r>
      <w:proofErr w:type="gramEnd"/>
      <w:r w:rsidRPr="00031D38">
        <w:rPr>
          <w:rFonts w:ascii="Century Gothic" w:eastAsiaTheme="minorHAnsi" w:hAnsi="Century Gothic" w:cs="Arial"/>
          <w:sz w:val="20"/>
          <w:szCs w:val="20"/>
          <w:lang w:eastAsia="en-US"/>
        </w:rPr>
        <w:t xml:space="preserve"> par mail : </w:t>
      </w:r>
      <w:r w:rsidRPr="00031D38">
        <w:rPr>
          <w:rFonts w:ascii="Century Gothic" w:eastAsiaTheme="minorHAnsi" w:hAnsi="Century Gothic" w:cs="Arial"/>
          <w:sz w:val="20"/>
          <w:szCs w:val="20"/>
          <w:u w:val="single"/>
          <w:lang w:eastAsia="en-US"/>
        </w:rPr>
        <w:t>mobilite.recrutement@mairie-avignon.com</w:t>
      </w:r>
    </w:p>
    <w:p w:rsidR="001970C7" w:rsidRPr="00154DD4" w:rsidRDefault="001970C7" w:rsidP="001970C7">
      <w:pPr>
        <w:pStyle w:val="En-tte"/>
        <w:tabs>
          <w:tab w:val="left" w:pos="708"/>
        </w:tabs>
        <w:jc w:val="center"/>
        <w:rPr>
          <w:rFonts w:ascii="Century Gothic" w:hAnsi="Century Gothic"/>
          <w:b/>
          <w:i/>
          <w:iCs/>
          <w:color w:val="808080"/>
          <w:sz w:val="20"/>
          <w:szCs w:val="20"/>
        </w:rPr>
      </w:pPr>
    </w:p>
    <w:p w:rsidR="001970C7" w:rsidRDefault="001970C7" w:rsidP="001970C7"/>
    <w:p w:rsidR="001970C7" w:rsidRDefault="001970C7" w:rsidP="001970C7"/>
    <w:p w:rsidR="001970C7" w:rsidRDefault="001970C7" w:rsidP="001970C7"/>
    <w:p w:rsidR="001970C7" w:rsidRDefault="001970C7" w:rsidP="001970C7"/>
    <w:p w:rsidR="001970C7" w:rsidRDefault="001970C7" w:rsidP="001970C7"/>
    <w:p w:rsidR="001970C7" w:rsidRDefault="001970C7" w:rsidP="001970C7"/>
    <w:p w:rsidR="001970C7" w:rsidRDefault="001970C7" w:rsidP="001970C7"/>
    <w:p w:rsidR="001970C7" w:rsidRDefault="001970C7" w:rsidP="001970C7"/>
    <w:p w:rsidR="00513F08" w:rsidRDefault="001970C7"/>
    <w:sectPr w:rsidR="00513F08" w:rsidSect="00A22E1D">
      <w:pgSz w:w="11906" w:h="16838" w:code="9"/>
      <w:pgMar w:top="454" w:right="1418" w:bottom="567" w:left="1418"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0A7B"/>
    <w:multiLevelType w:val="hybridMultilevel"/>
    <w:tmpl w:val="7E1095F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49D78C7"/>
    <w:multiLevelType w:val="hybridMultilevel"/>
    <w:tmpl w:val="9874FEF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741B0E93"/>
    <w:multiLevelType w:val="hybridMultilevel"/>
    <w:tmpl w:val="ADE2428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C7"/>
    <w:rsid w:val="001970C7"/>
    <w:rsid w:val="003875AA"/>
    <w:rsid w:val="00711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1069"/>
  <w15:chartTrackingRefBased/>
  <w15:docId w15:val="{384A6802-D3AC-438E-AEAD-9FCD59AB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C7"/>
    <w:pPr>
      <w:spacing w:after="0" w:line="240" w:lineRule="auto"/>
    </w:pPr>
    <w:rPr>
      <w:rFonts w:ascii="Times New Roman" w:eastAsiaTheme="minorEastAsia" w:hAnsi="Times New Roman"/>
      <w:sz w:val="24"/>
      <w:szCs w:val="24"/>
      <w:lang w:eastAsia="fr-FR"/>
    </w:rPr>
  </w:style>
  <w:style w:type="paragraph" w:styleId="Titre2">
    <w:name w:val="heading 2"/>
    <w:basedOn w:val="Normal"/>
    <w:next w:val="Normal"/>
    <w:link w:val="Titre2Car"/>
    <w:uiPriority w:val="99"/>
    <w:unhideWhenUsed/>
    <w:qFormat/>
    <w:rsid w:val="001970C7"/>
    <w:pPr>
      <w:keepNext/>
      <w:jc w:val="center"/>
      <w:outlineLvl w:val="1"/>
    </w:pPr>
    <w:rPr>
      <w:rFonts w:ascii="Arial" w:eastAsia="Times New Roman"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970C7"/>
    <w:rPr>
      <w:rFonts w:ascii="Arial" w:eastAsia="Times New Roman" w:hAnsi="Arial" w:cs="Arial"/>
      <w:b/>
      <w:bCs/>
      <w:sz w:val="28"/>
      <w:szCs w:val="28"/>
      <w:lang w:eastAsia="fr-FR"/>
    </w:rPr>
  </w:style>
  <w:style w:type="paragraph" w:styleId="En-tte">
    <w:name w:val="header"/>
    <w:basedOn w:val="Normal"/>
    <w:link w:val="En-tteCar"/>
    <w:uiPriority w:val="99"/>
    <w:semiHidden/>
    <w:unhideWhenUsed/>
    <w:rsid w:val="001970C7"/>
    <w:pPr>
      <w:tabs>
        <w:tab w:val="center" w:pos="4536"/>
        <w:tab w:val="right" w:pos="9072"/>
      </w:tabs>
    </w:pPr>
    <w:rPr>
      <w:rFonts w:ascii="Arial" w:hAnsi="Arial" w:cs="Arial"/>
    </w:rPr>
  </w:style>
  <w:style w:type="character" w:customStyle="1" w:styleId="En-tteCar">
    <w:name w:val="En-tête Car"/>
    <w:basedOn w:val="Policepardfaut"/>
    <w:link w:val="En-tte"/>
    <w:uiPriority w:val="99"/>
    <w:semiHidden/>
    <w:rsid w:val="001970C7"/>
    <w:rPr>
      <w:rFonts w:ascii="Arial" w:eastAsiaTheme="minorEastAsia" w:hAnsi="Arial" w:cs="Arial"/>
      <w:sz w:val="24"/>
      <w:szCs w:val="24"/>
      <w:lang w:eastAsia="fr-FR"/>
    </w:rPr>
  </w:style>
  <w:style w:type="paragraph" w:styleId="Titre">
    <w:name w:val="Title"/>
    <w:basedOn w:val="Normal"/>
    <w:link w:val="TitreCar"/>
    <w:uiPriority w:val="99"/>
    <w:qFormat/>
    <w:rsid w:val="001970C7"/>
    <w:pPr>
      <w:pBdr>
        <w:top w:val="double" w:sz="12" w:space="1" w:color="auto"/>
        <w:left w:val="double" w:sz="12" w:space="1" w:color="auto"/>
        <w:bottom w:val="double" w:sz="12" w:space="1" w:color="auto"/>
        <w:right w:val="double" w:sz="12" w:space="1" w:color="auto"/>
      </w:pBdr>
      <w:ind w:left="1134" w:right="1134"/>
      <w:jc w:val="center"/>
    </w:pPr>
    <w:rPr>
      <w:rFonts w:cs="Times New Roman"/>
      <w:b/>
      <w:bCs/>
      <w:sz w:val="40"/>
      <w:szCs w:val="40"/>
    </w:rPr>
  </w:style>
  <w:style w:type="character" w:customStyle="1" w:styleId="TitreCar">
    <w:name w:val="Titre Car"/>
    <w:basedOn w:val="Policepardfaut"/>
    <w:link w:val="Titre"/>
    <w:uiPriority w:val="99"/>
    <w:rsid w:val="001970C7"/>
    <w:rPr>
      <w:rFonts w:ascii="Times New Roman" w:eastAsiaTheme="minorEastAsia" w:hAnsi="Times New Roman" w:cs="Times New Roman"/>
      <w:b/>
      <w:bCs/>
      <w:sz w:val="40"/>
      <w:szCs w:val="40"/>
      <w:lang w:eastAsia="fr-FR"/>
    </w:rPr>
  </w:style>
  <w:style w:type="paragraph" w:styleId="Paragraphedeliste">
    <w:name w:val="List Paragraph"/>
    <w:basedOn w:val="Normal"/>
    <w:uiPriority w:val="34"/>
    <w:qFormat/>
    <w:rsid w:val="001970C7"/>
    <w:pPr>
      <w:ind w:left="720"/>
      <w:contextualSpacing/>
    </w:pPr>
  </w:style>
  <w:style w:type="paragraph" w:customStyle="1" w:styleId="Pardfaut">
    <w:name w:val="Par défaut"/>
    <w:rsid w:val="001970C7"/>
    <w:pPr>
      <w:spacing w:after="0" w:line="240" w:lineRule="auto"/>
    </w:pPr>
    <w:rPr>
      <w:rFonts w:ascii="Helvetica Neue" w:eastAsia="Arial Unicode MS" w:hAnsi="Helvetica Neue" w:cs="Arial Unicode M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2840</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1</cp:revision>
  <dcterms:created xsi:type="dcterms:W3CDTF">2025-06-05T07:24:00Z</dcterms:created>
  <dcterms:modified xsi:type="dcterms:W3CDTF">2025-06-05T07:25:00Z</dcterms:modified>
</cp:coreProperties>
</file>