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3EA" w:rsidRPr="003C0462" w:rsidRDefault="005163EA" w:rsidP="005163EA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bCs/>
          <w:iCs/>
          <w:sz w:val="20"/>
          <w:szCs w:val="20"/>
          <w:u w:val="single"/>
          <w:lang w:eastAsia="fr-FR"/>
        </w:rPr>
      </w:pPr>
      <w:r w:rsidRPr="003C0462">
        <w:rPr>
          <w:rFonts w:ascii="Times New Roman" w:eastAsiaTheme="minorEastAsia" w:hAnsi="Times New Roman" w:cs="Times New Roman"/>
          <w:b/>
          <w:bCs/>
          <w:noProof/>
          <w:sz w:val="40"/>
          <w:szCs w:val="40"/>
          <w:lang w:eastAsia="fr-FR"/>
        </w:rPr>
        <w:drawing>
          <wp:inline distT="0" distB="0" distL="0" distR="0" wp14:anchorId="542F62F4" wp14:editId="38F3FD83">
            <wp:extent cx="2423160" cy="1005816"/>
            <wp:effectExtent l="0" t="0" r="0" b="0"/>
            <wp:docPr id="2" name="Image 2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sign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3EA" w:rsidRPr="003C0462" w:rsidRDefault="005163EA" w:rsidP="005163EA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bCs/>
          <w:iCs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b/>
          <w:bCs/>
          <w:iCs/>
          <w:sz w:val="20"/>
          <w:szCs w:val="20"/>
          <w:lang w:eastAsia="fr-FR"/>
        </w:rPr>
        <w:t>La Ville d’Avignon recrute pour sa Direction Générale Adjointe Ville Durable et Sobre</w:t>
      </w:r>
    </w:p>
    <w:p w:rsidR="005163EA" w:rsidRPr="003C0462" w:rsidRDefault="005163EA" w:rsidP="005163EA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bCs/>
          <w:iCs/>
          <w:sz w:val="20"/>
          <w:szCs w:val="20"/>
          <w:lang w:eastAsia="fr-FR"/>
        </w:rPr>
      </w:pPr>
    </w:p>
    <w:p w:rsidR="005163EA" w:rsidRPr="003C0462" w:rsidRDefault="005163EA" w:rsidP="005163EA">
      <w:pPr>
        <w:keepNext/>
        <w:spacing w:after="0" w:line="240" w:lineRule="auto"/>
        <w:jc w:val="center"/>
        <w:outlineLvl w:val="4"/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  <w:t>Secrétariat Général</w:t>
      </w:r>
    </w:p>
    <w:p w:rsidR="005163EA" w:rsidRPr="003C0462" w:rsidRDefault="005163EA" w:rsidP="005163EA">
      <w:pPr>
        <w:spacing w:after="0" w:line="240" w:lineRule="auto"/>
        <w:jc w:val="center"/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  <w:t>Service Gestion Comptable</w:t>
      </w:r>
    </w:p>
    <w:p w:rsidR="005163EA" w:rsidRPr="003C0462" w:rsidRDefault="005163EA" w:rsidP="005163EA">
      <w:pPr>
        <w:spacing w:after="0" w:line="240" w:lineRule="auto"/>
        <w:jc w:val="center"/>
        <w:rPr>
          <w:rFonts w:ascii="Century Gothic" w:eastAsiaTheme="minorEastAsia" w:hAnsi="Century Gothic" w:cs="Arial"/>
          <w:b/>
          <w:bCs/>
          <w:sz w:val="20"/>
          <w:szCs w:val="20"/>
          <w:lang w:eastAsia="fr-FR"/>
        </w:rPr>
      </w:pPr>
    </w:p>
    <w:p w:rsidR="005163EA" w:rsidRPr="003C0462" w:rsidRDefault="005163EA" w:rsidP="005163EA">
      <w:pPr>
        <w:keepNext/>
        <w:tabs>
          <w:tab w:val="left" w:pos="180"/>
        </w:tabs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</w:pPr>
      <w:r w:rsidRPr="003C0462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Poste : Gestionnaire d’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E</w:t>
      </w:r>
      <w:r w:rsidRPr="003C0462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xécution Budgétaire (f/h)</w:t>
      </w:r>
    </w:p>
    <w:p w:rsidR="005163EA" w:rsidRPr="003C0462" w:rsidRDefault="005163EA" w:rsidP="005163EA">
      <w:pPr>
        <w:spacing w:after="0" w:line="240" w:lineRule="auto"/>
        <w:jc w:val="center"/>
        <w:rPr>
          <w:rFonts w:ascii="Century Gothic" w:eastAsiaTheme="minorEastAsia" w:hAnsi="Century Gothic" w:cs="Arial"/>
          <w:i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i/>
          <w:sz w:val="20"/>
          <w:szCs w:val="20"/>
          <w:lang w:eastAsia="fr-FR"/>
        </w:rPr>
        <w:t>Emploi : Référent Financier</w:t>
      </w:r>
    </w:p>
    <w:p w:rsidR="005163EA" w:rsidRPr="003C0462" w:rsidRDefault="005163EA" w:rsidP="005163EA">
      <w:pPr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sz w:val="20"/>
          <w:szCs w:val="20"/>
          <w:lang w:eastAsia="fr-FR"/>
        </w:rPr>
        <w:t>Filière Administrative – Catégorie C</w:t>
      </w:r>
    </w:p>
    <w:p w:rsidR="005163EA" w:rsidRPr="003C0462" w:rsidRDefault="005163EA" w:rsidP="005163EA">
      <w:pPr>
        <w:spacing w:after="0" w:line="240" w:lineRule="auto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3C0462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Missions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 xml:space="preserve">Assurer le traitement comptable des dépenses et recettes des </w:t>
      </w:r>
      <w:r>
        <w:rPr>
          <w:rFonts w:ascii="Century Gothic" w:eastAsiaTheme="minorEastAsia" w:hAnsi="Century Gothic"/>
          <w:sz w:val="20"/>
          <w:szCs w:val="20"/>
          <w:lang w:eastAsia="fr-FR"/>
        </w:rPr>
        <w:t xml:space="preserve">Pôles 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coordonnés par le Secrétariat Général dans le respect de la M57 et du délai global de paiement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="Times New Roman" w:hAnsi="Century Gothic" w:cstheme="minorHAnsi"/>
          <w:iCs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Contribuer au suivi budgétaire et à l’exécution des marchés publics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iCs/>
          <w:sz w:val="20"/>
          <w:szCs w:val="20"/>
          <w:u w:val="single"/>
          <w:lang w:eastAsia="fr-FR"/>
        </w:rPr>
      </w:pPr>
      <w:r w:rsidRPr="003C0462">
        <w:rPr>
          <w:rFonts w:ascii="Century Gothic" w:eastAsia="Times New Roman" w:hAnsi="Century Gothic" w:cstheme="minorHAnsi"/>
          <w:b/>
          <w:bCs/>
          <w:iCs/>
          <w:sz w:val="20"/>
          <w:szCs w:val="20"/>
          <w:u w:val="single"/>
          <w:lang w:eastAsia="fr-FR"/>
        </w:rPr>
        <w:t>Activités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  <w:t>Assurer le traitement comptable des dépenses et recettes des départements coordonnés par le Secrétariat Général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Réceptionner, traiter, vérifier la validité, enregistrer (dans la GED) et classer les pièces comptables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Rédiger des documents administratifs et comptables simples (courriers, bordereaux d'envoi, certificats administratifs, virements de crédits, accès aux marchés, demandes de création ou modification de tiers…)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Saisir les engagements et bons de commande en fonctionnement et en investissement dans le respect des marchés publics et/ou après vérification des devis et des crédits disponibles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Gérer les relations avec les fournisseurs ou prestataires en traitant les réclamations (relances, litiges…)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Identifier un problème sur une opération ou sur les délais et proposer des solutions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 xml:space="preserve">Traiter les factures (pré-mandatements, suspensions ou rejets) 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Gérer les relevés des cartes d’achat et leurs pièces justificatives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 xml:space="preserve">Créer des pré-titres de recettes 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Classer, archiver les pièces et documents comptables ou financiers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Accompagner et alerter les départements dans le suivi budgétaire (imputation comptable, virements de crédits, seuils des marchés, dématérialisation…)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b/>
          <w:bCs/>
          <w:sz w:val="20"/>
          <w:szCs w:val="20"/>
          <w:lang w:eastAsia="fr-FR"/>
        </w:rPr>
        <w:t>Contribuer au suivi budgétaire et à l’exécution administrative</w:t>
      </w:r>
    </w:p>
    <w:p w:rsidR="005163EA" w:rsidRPr="003C0462" w:rsidRDefault="005163EA" w:rsidP="005163EA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Saisir les demandes budgétaires (BP, BS, DM)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 xml:space="preserve">Accompagner le suivi financier et administratif des marchés publics 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Organiser et suivre la levée des retenues de garantie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Procéder aux opérations de fin d ‘exercice (rattachements et reports)</w:t>
      </w:r>
    </w:p>
    <w:p w:rsidR="005163EA" w:rsidRPr="003C0462" w:rsidRDefault="005163EA" w:rsidP="00516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Tenir des tableaux de bord d'activité (suivi des engagements, réalisations, bilans spécifiques, rapport annuel d'activité …)</w:t>
      </w:r>
    </w:p>
    <w:p w:rsidR="005163EA" w:rsidRDefault="005163EA" w:rsidP="005163E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C0462">
        <w:rPr>
          <w:rFonts w:ascii="Century Gothic" w:hAnsi="Century Gothic"/>
          <w:sz w:val="20"/>
          <w:szCs w:val="20"/>
        </w:rPr>
        <w:t>Assurer le suivi d’un collègue absent en cas de besoin pour ne pas pénaliser la chaine comptable</w:t>
      </w:r>
    </w:p>
    <w:p w:rsidR="005163EA" w:rsidRPr="003C0462" w:rsidRDefault="005163EA" w:rsidP="005163EA">
      <w:pPr>
        <w:spacing w:after="120" w:line="240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5163EA" w:rsidRPr="003C0462" w:rsidRDefault="005163EA" w:rsidP="005163EA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3C0462">
        <w:rPr>
          <w:rFonts w:ascii="Century Gothic" w:hAnsi="Century Gothic"/>
          <w:b/>
          <w:bCs/>
          <w:sz w:val="20"/>
          <w:szCs w:val="20"/>
          <w:u w:val="single"/>
        </w:rPr>
        <w:t>Compétences Requises :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3C0462">
        <w:rPr>
          <w:rFonts w:ascii="Century Gothic" w:hAnsi="Century Gothic"/>
          <w:b/>
          <w:sz w:val="20"/>
          <w:szCs w:val="20"/>
          <w:u w:val="single"/>
        </w:rPr>
        <w:t>Connaissances :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Fonctionnement général des collectivités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Outils bureautiques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Règles et procédures publiques budgétaires et comptables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Nomenclatures comptables</w:t>
      </w:r>
    </w:p>
    <w:p w:rsidR="005163EA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Principes de la commande publique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3C0462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lastRenderedPageBreak/>
        <w:t>Savoir-faire Techniques :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Réceptionner, vérifier et classer les pièces comptables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Effectuer le suivi budgétaire et l’analyse des dépenses et recettes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Assurer le traitement comptable des recettes et dépenses (engagement, liquidation…)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Assurer le suivi et le contrôle comptable des procédures de marchés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Rédiger des documents administratifs (certificats administratifs…)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Appliquer des procédures techniques et/ou administratives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>Suivre des tableaux de bord et participer à leur élaboration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="Times New Roman" w:hAnsi="Century Gothic" w:cs="Arial"/>
          <w:sz w:val="20"/>
          <w:szCs w:val="20"/>
          <w:lang w:eastAsia="fr-FR"/>
        </w:rPr>
      </w:pPr>
      <w:r w:rsidRPr="003C0462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  <w:t>Qualités Professionnelles</w:t>
      </w:r>
      <w:r w:rsidRPr="003C0462">
        <w:rPr>
          <w:rFonts w:ascii="Century Gothic" w:eastAsia="Times New Roman" w:hAnsi="Century Gothic" w:cs="Arial"/>
          <w:sz w:val="20"/>
          <w:szCs w:val="20"/>
          <w:lang w:eastAsia="fr-FR"/>
        </w:rPr>
        <w:t> :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Capacité de réserve et de discrétion nécessaire à l'exercice professionnel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 xml:space="preserve">Organisé 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Esprit d’équipe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Rigoureux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Méthodique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/>
          <w:sz w:val="20"/>
          <w:szCs w:val="20"/>
          <w:lang w:eastAsia="fr-FR"/>
        </w:rPr>
      </w:pP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3C0462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Relations fonctionnelles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</w:pPr>
      <w:r w:rsidRPr="003C0462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Externes</w:t>
      </w:r>
      <w:r w:rsidRPr="003C0462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 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Prestataires, fournisseurs et Trésorerie</w:t>
      </w:r>
      <w:r w:rsidRPr="003C0462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 xml:space="preserve"> 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Internes</w:t>
      </w:r>
      <w:r w:rsidRPr="003C0462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3C0462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 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 xml:space="preserve">les </w:t>
      </w:r>
      <w:r>
        <w:rPr>
          <w:rFonts w:ascii="Century Gothic" w:eastAsiaTheme="minorEastAsia" w:hAnsi="Century Gothic"/>
          <w:sz w:val="20"/>
          <w:szCs w:val="20"/>
          <w:lang w:eastAsia="fr-FR"/>
        </w:rPr>
        <w:t>Pôles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 xml:space="preserve"> affectés, </w:t>
      </w:r>
      <w:r>
        <w:rPr>
          <w:rFonts w:ascii="Century Gothic" w:eastAsiaTheme="minorEastAsia" w:hAnsi="Century Gothic"/>
          <w:sz w:val="20"/>
          <w:szCs w:val="20"/>
          <w:lang w:eastAsia="fr-FR"/>
        </w:rPr>
        <w:t xml:space="preserve">Pôle 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 xml:space="preserve">Finances, </w:t>
      </w:r>
      <w:r>
        <w:rPr>
          <w:rFonts w:ascii="Century Gothic" w:eastAsiaTheme="minorEastAsia" w:hAnsi="Century Gothic"/>
          <w:sz w:val="20"/>
          <w:szCs w:val="20"/>
          <w:lang w:eastAsia="fr-FR"/>
        </w:rPr>
        <w:t>Pôles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 xml:space="preserve"> Affaires Juridiques</w:t>
      </w:r>
      <w:r w:rsidRPr="003C0462">
        <w:rPr>
          <w:rFonts w:ascii="Century Gothic" w:eastAsiaTheme="minorEastAsia" w:hAnsi="Century Gothic" w:cs="Arial"/>
          <w:sz w:val="20"/>
          <w:szCs w:val="20"/>
          <w:lang w:eastAsia="fr-FR"/>
        </w:rPr>
        <w:t xml:space="preserve"> </w:t>
      </w: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5163EA" w:rsidRPr="003C0462" w:rsidRDefault="005163EA" w:rsidP="005163EA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sz w:val="20"/>
          <w:szCs w:val="20"/>
          <w:u w:val="single"/>
          <w:lang w:eastAsia="fr-FR"/>
        </w:rPr>
      </w:pPr>
      <w:r w:rsidRPr="003C0462">
        <w:rPr>
          <w:rFonts w:ascii="Century Gothic" w:eastAsiaTheme="minorEastAsia" w:hAnsi="Century Gothic" w:cs="Arial"/>
          <w:b/>
          <w:bCs/>
          <w:sz w:val="20"/>
          <w:szCs w:val="20"/>
          <w:u w:val="single"/>
          <w:lang w:eastAsia="fr-FR"/>
        </w:rPr>
        <w:t>Conditions d’exercice du poste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 w:cstheme="minorHAnsi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>Horaires</w:t>
      </w:r>
      <w:r w:rsidRPr="003C0462">
        <w:rPr>
          <w:rFonts w:ascii="Century Gothic" w:eastAsiaTheme="minorEastAsia" w:hAnsi="Century Gothic"/>
          <w:b/>
          <w:sz w:val="20"/>
          <w:szCs w:val="20"/>
          <w:lang w:eastAsia="fr-FR"/>
        </w:rPr>
        <w:t> 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Choix option possible 35h-37h30-39h hebdomadaires</w:t>
      </w:r>
      <w:r w:rsidRPr="003C0462">
        <w:rPr>
          <w:rFonts w:ascii="Century Gothic" w:eastAsiaTheme="minorEastAsia" w:hAnsi="Century Gothic" w:cstheme="minorHAnsi"/>
          <w:b/>
          <w:bCs/>
          <w:sz w:val="20"/>
          <w:szCs w:val="20"/>
          <w:lang w:eastAsia="fr-FR"/>
        </w:rPr>
        <w:t xml:space="preserve"> -</w:t>
      </w:r>
      <w:r w:rsidRPr="003C0462">
        <w:rPr>
          <w:rFonts w:ascii="Century Gothic" w:eastAsiaTheme="minorEastAsia" w:hAnsi="Century Gothic" w:cstheme="minorHAnsi"/>
          <w:sz w:val="20"/>
          <w:szCs w:val="20"/>
          <w:lang w:eastAsia="fr-FR"/>
        </w:rPr>
        <w:t>temps complet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Cycle AAS1 : Plage variable 07h45-09h00 / Plage fixe 09h00-11h30 / Plage variable 11h30-14h00 / Plage fixe 14h00-16h00 / Plage variable 16h00-18h00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Télétravail possible (1jour)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3C0462"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  <w:t>Lieu </w:t>
      </w:r>
      <w:r w:rsidRPr="003C0462">
        <w:rPr>
          <w:rFonts w:ascii="Century Gothic" w:eastAsiaTheme="minorEastAsia" w:hAnsi="Century Gothic"/>
          <w:b/>
          <w:sz w:val="20"/>
          <w:szCs w:val="20"/>
          <w:lang w:eastAsia="fr-FR"/>
        </w:rPr>
        <w:t xml:space="preserve">: 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Différent selon SG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b/>
          <w:bCs/>
          <w:iCs/>
          <w:sz w:val="20"/>
          <w:szCs w:val="20"/>
          <w:u w:val="single"/>
          <w:lang w:eastAsia="fr-FR"/>
        </w:rPr>
      </w:pPr>
      <w:r w:rsidRPr="003C0462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Conditions d’accès</w:t>
      </w:r>
      <w:r w:rsidRPr="003C0462">
        <w:rPr>
          <w:rFonts w:ascii="Century Gothic" w:eastAsiaTheme="minorEastAsia" w:hAnsi="Century Gothic"/>
          <w:sz w:val="20"/>
          <w:szCs w:val="20"/>
          <w:lang w:eastAsia="fr-FR"/>
        </w:rPr>
        <w:t> : Diplôme dans le domaine de la comptabilité souhaité ou expérience significative</w:t>
      </w:r>
    </w:p>
    <w:p w:rsidR="005163EA" w:rsidRPr="003C0462" w:rsidRDefault="005163EA" w:rsidP="005163EA">
      <w:pPr>
        <w:spacing w:after="0" w:line="240" w:lineRule="auto"/>
        <w:jc w:val="both"/>
        <w:rPr>
          <w:rFonts w:ascii="Century Gothic" w:eastAsiaTheme="minorEastAsia" w:hAnsi="Century Gothic"/>
          <w:b/>
          <w:iCs/>
          <w:sz w:val="20"/>
          <w:szCs w:val="20"/>
          <w:u w:val="single"/>
          <w:lang w:eastAsia="fr-FR"/>
        </w:rPr>
      </w:pPr>
    </w:p>
    <w:p w:rsidR="005163EA" w:rsidRPr="003C0462" w:rsidRDefault="005163EA" w:rsidP="005163EA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Cs/>
          <w:sz w:val="20"/>
          <w:szCs w:val="20"/>
          <w:lang w:eastAsia="fr-FR"/>
        </w:rPr>
      </w:pPr>
      <w:r w:rsidRPr="003C0462">
        <w:rPr>
          <w:rFonts w:ascii="Century Gothic" w:eastAsia="Times New Roman" w:hAnsi="Century Gothic" w:cs="Arial"/>
          <w:bCs/>
          <w:sz w:val="20"/>
          <w:szCs w:val="20"/>
          <w:lang w:eastAsia="fr-FR"/>
        </w:rPr>
        <w:t>Rémunération statutaire + régime indemnitaire + prime de fin d’année</w:t>
      </w:r>
    </w:p>
    <w:p w:rsidR="005163EA" w:rsidRPr="003C0462" w:rsidRDefault="005163EA" w:rsidP="005163EA">
      <w:pPr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5163EA" w:rsidRPr="00A324B8" w:rsidRDefault="005163EA" w:rsidP="005163EA">
      <w:pPr>
        <w:spacing w:after="0" w:line="240" w:lineRule="auto"/>
        <w:ind w:left="-284" w:right="425"/>
        <w:jc w:val="center"/>
        <w:rPr>
          <w:rFonts w:ascii="Century Gothic" w:hAnsi="Century Gothic" w:cs="Arial"/>
          <w:iCs/>
          <w:sz w:val="20"/>
          <w:szCs w:val="20"/>
        </w:rPr>
      </w:pPr>
      <w:r w:rsidRPr="00A324B8">
        <w:rPr>
          <w:rFonts w:ascii="Century Gothic" w:hAnsi="Century Gothic" w:cs="Arial"/>
          <w:iCs/>
          <w:sz w:val="20"/>
          <w:szCs w:val="20"/>
        </w:rPr>
        <w:t xml:space="preserve">Les candidatures doivent être adressées avant le </w:t>
      </w:r>
      <w:r>
        <w:rPr>
          <w:rFonts w:ascii="Century Gothic" w:hAnsi="Century Gothic" w:cs="Arial"/>
          <w:iCs/>
          <w:sz w:val="20"/>
          <w:szCs w:val="20"/>
        </w:rPr>
        <w:t>5 juillet</w:t>
      </w:r>
      <w:r w:rsidRPr="00A324B8">
        <w:rPr>
          <w:rFonts w:ascii="Century Gothic" w:hAnsi="Century Gothic" w:cs="Arial"/>
          <w:iCs/>
          <w:sz w:val="20"/>
          <w:szCs w:val="20"/>
        </w:rPr>
        <w:t xml:space="preserve"> 2025</w:t>
      </w:r>
    </w:p>
    <w:p w:rsidR="005163EA" w:rsidRPr="00A324B8" w:rsidRDefault="005163EA" w:rsidP="005163EA">
      <w:pPr>
        <w:spacing w:after="0" w:line="240" w:lineRule="auto"/>
        <w:ind w:left="-284" w:right="425"/>
        <w:jc w:val="center"/>
        <w:rPr>
          <w:rFonts w:ascii="Century Gothic" w:hAnsi="Century Gothic" w:cs="Arial"/>
          <w:iCs/>
          <w:sz w:val="20"/>
          <w:szCs w:val="20"/>
        </w:rPr>
      </w:pPr>
      <w:proofErr w:type="gramStart"/>
      <w:r w:rsidRPr="00A324B8">
        <w:rPr>
          <w:rFonts w:ascii="Century Gothic" w:hAnsi="Century Gothic" w:cs="Arial"/>
          <w:iCs/>
          <w:sz w:val="20"/>
          <w:szCs w:val="20"/>
        </w:rPr>
        <w:t>à</w:t>
      </w:r>
      <w:proofErr w:type="gramEnd"/>
      <w:r w:rsidRPr="00A324B8">
        <w:rPr>
          <w:rFonts w:ascii="Century Gothic" w:hAnsi="Century Gothic" w:cs="Arial"/>
          <w:iCs/>
          <w:sz w:val="20"/>
          <w:szCs w:val="20"/>
        </w:rPr>
        <w:t xml:space="preserve"> l’attention de Monsieur Sébastien FAIDHERBE</w:t>
      </w:r>
    </w:p>
    <w:p w:rsidR="005163EA" w:rsidRPr="00A324B8" w:rsidRDefault="005163EA" w:rsidP="005163EA">
      <w:pPr>
        <w:spacing w:after="0" w:line="240" w:lineRule="auto"/>
        <w:ind w:left="-284" w:right="425"/>
        <w:jc w:val="center"/>
        <w:rPr>
          <w:rFonts w:ascii="Century Gothic" w:hAnsi="Century Gothic" w:cs="Arial"/>
          <w:iCs/>
          <w:sz w:val="20"/>
          <w:szCs w:val="20"/>
        </w:rPr>
      </w:pPr>
      <w:r w:rsidRPr="00A324B8">
        <w:rPr>
          <w:rFonts w:ascii="Century Gothic" w:hAnsi="Century Gothic" w:cs="Arial"/>
          <w:iCs/>
          <w:color w:val="000000" w:themeColor="text1"/>
          <w:sz w:val="20"/>
          <w:szCs w:val="20"/>
        </w:rPr>
        <w:t>Directeur Développement RH</w:t>
      </w:r>
    </w:p>
    <w:p w:rsidR="005163EA" w:rsidRPr="00A324B8" w:rsidRDefault="005163EA" w:rsidP="005163EA">
      <w:pPr>
        <w:spacing w:after="0" w:line="240" w:lineRule="auto"/>
        <w:ind w:left="-284" w:right="425"/>
        <w:jc w:val="center"/>
        <w:rPr>
          <w:rFonts w:ascii="Century Gothic" w:hAnsi="Century Gothic" w:cs="Arial"/>
          <w:iCs/>
          <w:sz w:val="20"/>
          <w:szCs w:val="20"/>
        </w:rPr>
      </w:pPr>
      <w:r w:rsidRPr="00A324B8">
        <w:rPr>
          <w:rFonts w:ascii="Century Gothic" w:hAnsi="Century Gothic" w:cs="Arial"/>
          <w:iCs/>
          <w:sz w:val="20"/>
          <w:szCs w:val="20"/>
        </w:rPr>
        <w:t>1, rue Racine – 84045 Avignon Cedex</w:t>
      </w:r>
    </w:p>
    <w:p w:rsidR="005163EA" w:rsidRPr="00A324B8" w:rsidRDefault="005163EA" w:rsidP="005163EA">
      <w:pPr>
        <w:spacing w:after="120" w:line="240" w:lineRule="auto"/>
        <w:ind w:left="-284" w:right="425"/>
        <w:jc w:val="center"/>
        <w:rPr>
          <w:rFonts w:ascii="Century Gothic" w:hAnsi="Century Gothic" w:cs="Arial"/>
          <w:iCs/>
          <w:sz w:val="20"/>
          <w:szCs w:val="20"/>
          <w:u w:val="single"/>
        </w:rPr>
      </w:pPr>
      <w:proofErr w:type="gramStart"/>
      <w:r w:rsidRPr="00A324B8">
        <w:rPr>
          <w:rFonts w:ascii="Century Gothic" w:hAnsi="Century Gothic" w:cs="Arial"/>
          <w:iCs/>
          <w:sz w:val="20"/>
          <w:szCs w:val="20"/>
        </w:rPr>
        <w:t>ou</w:t>
      </w:r>
      <w:proofErr w:type="gramEnd"/>
      <w:r w:rsidRPr="00A324B8">
        <w:rPr>
          <w:rFonts w:ascii="Century Gothic" w:hAnsi="Century Gothic" w:cs="Arial"/>
          <w:iCs/>
          <w:sz w:val="20"/>
          <w:szCs w:val="20"/>
        </w:rPr>
        <w:t xml:space="preserve"> par mail : </w:t>
      </w:r>
      <w:r w:rsidRPr="00A324B8">
        <w:rPr>
          <w:rFonts w:ascii="Century Gothic" w:hAnsi="Century Gothic" w:cs="Arial"/>
          <w:iCs/>
          <w:sz w:val="20"/>
          <w:szCs w:val="20"/>
          <w:u w:val="single"/>
        </w:rPr>
        <w:t>mobilite.recrutement@mairie-avignon.com</w:t>
      </w:r>
    </w:p>
    <w:p w:rsidR="005163EA" w:rsidRPr="003C0462" w:rsidRDefault="005163EA" w:rsidP="005163EA">
      <w:pPr>
        <w:spacing w:after="0" w:line="240" w:lineRule="auto"/>
        <w:rPr>
          <w:rFonts w:ascii="Century Gothic" w:hAnsi="Century Gothic"/>
          <w:b/>
        </w:rPr>
      </w:pPr>
    </w:p>
    <w:p w:rsidR="005163EA" w:rsidRPr="003C0462" w:rsidRDefault="005163EA" w:rsidP="005163EA">
      <w:pPr>
        <w:spacing w:after="0" w:line="240" w:lineRule="auto"/>
        <w:jc w:val="center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rPr>
          <w:rFonts w:ascii="Century Gothic" w:eastAsiaTheme="minorEastAsia" w:hAnsi="Century Gothic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rPr>
          <w:rFonts w:ascii="Century Gothic" w:eastAsiaTheme="minorEastAsia" w:hAnsi="Century Gothic"/>
          <w:sz w:val="20"/>
          <w:szCs w:val="20"/>
          <w:lang w:eastAsia="fr-FR"/>
        </w:rPr>
      </w:pPr>
    </w:p>
    <w:p w:rsidR="005163EA" w:rsidRPr="003C0462" w:rsidRDefault="005163EA" w:rsidP="005163E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5163EA" w:rsidRPr="003C0462" w:rsidRDefault="005163EA" w:rsidP="005163E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5163EA" w:rsidRPr="003C0462" w:rsidRDefault="005163EA" w:rsidP="005163E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5163EA" w:rsidRPr="003C0462" w:rsidRDefault="005163EA" w:rsidP="005163E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5163EA" w:rsidRPr="003C0462" w:rsidRDefault="005163EA" w:rsidP="005163E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5163EA" w:rsidRDefault="005163EA" w:rsidP="005163EA"/>
    <w:p w:rsidR="005163EA" w:rsidRDefault="005163EA" w:rsidP="005163EA"/>
    <w:p w:rsidR="00513F08" w:rsidRDefault="005163EA"/>
    <w:sectPr w:rsidR="00513F08" w:rsidSect="00C35C6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E4454"/>
    <w:multiLevelType w:val="hybridMultilevel"/>
    <w:tmpl w:val="F5C8AB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EA"/>
    <w:rsid w:val="003875AA"/>
    <w:rsid w:val="005163EA"/>
    <w:rsid w:val="007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BC28"/>
  <w15:chartTrackingRefBased/>
  <w15:docId w15:val="{8B8D8EB2-44F1-495B-9D32-B44E0BF6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2025-06-05T08:37:00Z</dcterms:created>
  <dcterms:modified xsi:type="dcterms:W3CDTF">2025-06-05T08:38:00Z</dcterms:modified>
</cp:coreProperties>
</file>